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E31F3" w14:textId="4AB9D8A5" w:rsidR="00F9174B" w:rsidRDefault="00827744">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#9</w:t>
      </w:r>
      <w:r w:rsidR="002C7D3B">
        <w:rPr>
          <w:rFonts w:ascii="Arial" w:hAnsi="Arial" w:cs="Arial"/>
          <w:b/>
          <w:sz w:val="24"/>
          <w:szCs w:val="24"/>
        </w:rPr>
        <w:t>8</w:t>
      </w:r>
      <w:r>
        <w:rPr>
          <w:rFonts w:ascii="Arial" w:hAnsi="Arial" w:cs="Arial"/>
          <w:b/>
          <w:sz w:val="24"/>
          <w:szCs w:val="24"/>
        </w:rPr>
        <w:t>-e</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RP-22</w:t>
      </w:r>
      <w:r w:rsidR="007C4F0C">
        <w:rPr>
          <w:rFonts w:ascii="Arial" w:hAnsi="Arial" w:cs="Arial"/>
          <w:b/>
          <w:sz w:val="24"/>
          <w:szCs w:val="24"/>
        </w:rPr>
        <w:t>3230</w:t>
      </w:r>
    </w:p>
    <w:p w14:paraId="252F105E" w14:textId="568BEC98" w:rsidR="00F9174B" w:rsidRDefault="00827744">
      <w:pPr>
        <w:tabs>
          <w:tab w:val="left" w:pos="567"/>
        </w:tabs>
        <w:rPr>
          <w:rFonts w:ascii="Arial" w:hAnsi="Arial" w:cs="Arial"/>
          <w:b/>
          <w:sz w:val="24"/>
        </w:rPr>
      </w:pPr>
      <w:r>
        <w:rPr>
          <w:rFonts w:ascii="Arial" w:hAnsi="Arial" w:cs="Arial"/>
          <w:b/>
          <w:sz w:val="24"/>
        </w:rPr>
        <w:t xml:space="preserve">Online, </w:t>
      </w:r>
      <w:r w:rsidR="002C7D3B">
        <w:rPr>
          <w:rFonts w:ascii="Arial" w:hAnsi="Arial" w:cs="Arial"/>
          <w:b/>
          <w:sz w:val="24"/>
        </w:rPr>
        <w:t>December</w:t>
      </w:r>
      <w:r>
        <w:rPr>
          <w:rFonts w:ascii="Arial" w:hAnsi="Arial" w:cs="Arial"/>
          <w:b/>
          <w:sz w:val="24"/>
        </w:rPr>
        <w:t xml:space="preserve"> 12-16, 2022</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77777777" w:rsidR="00F9174B" w:rsidRDefault="00F9174B">
            <w:pPr>
              <w:tabs>
                <w:tab w:val="left" w:pos="567"/>
              </w:tabs>
              <w:spacing w:after="0"/>
              <w:rPr>
                <w:rFonts w:ascii="Arial" w:hAnsi="Arial" w:cs="Arial"/>
              </w:rPr>
            </w:pP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r>
              <w:rPr>
                <w:rFonts w:ascii="Arial" w:hAnsi="Arial" w:cs="Arial"/>
              </w:rPr>
              <w:t>IoT_NTN_enh</w:t>
            </w:r>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7587B55" w14:textId="77777777" w:rsidR="00F9174B" w:rsidRDefault="00827744">
            <w:pPr>
              <w:tabs>
                <w:tab w:val="left" w:pos="567"/>
              </w:tabs>
              <w:spacing w:after="0"/>
              <w:rPr>
                <w:rFonts w:ascii="Arial" w:hAnsi="Arial" w:cs="Arial"/>
                <w:lang w:eastAsia="ja-JP"/>
              </w:rPr>
            </w:pPr>
            <w:r>
              <w:rPr>
                <w:rFonts w:ascii="Arial" w:hAnsi="Arial" w:cs="Arial"/>
                <w:lang w:eastAsia="ja-JP"/>
              </w:rPr>
              <w:t>RP-220979</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(indicate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09/2023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77777777" w:rsidR="00F9174B" w:rsidRDefault="00827744">
            <w:pPr>
              <w:tabs>
                <w:tab w:val="left" w:pos="567"/>
              </w:tabs>
              <w:spacing w:after="0"/>
              <w:rPr>
                <w:rFonts w:ascii="Arial" w:hAnsi="Arial" w:cs="Arial"/>
                <w:lang w:eastAsia="ja-JP"/>
              </w:rPr>
            </w:pPr>
            <w:r>
              <w:rPr>
                <w:rFonts w:ascii="Arial" w:hAnsi="Arial" w:cs="Arial"/>
                <w:lang w:eastAsia="ja-JP"/>
              </w:rPr>
              <w:t>12/2023</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F9174B" w14:paraId="4E15555E" w14:textId="77777777">
        <w:tc>
          <w:tcPr>
            <w:tcW w:w="2436" w:type="dxa"/>
          </w:tcPr>
          <w:p w14:paraId="5AE19AA2" w14:textId="77777777" w:rsidR="00F9174B" w:rsidRDefault="00827744">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F9174B" w:rsidRDefault="0082774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F9174B" w:rsidRDefault="00F9174B">
            <w:pPr>
              <w:tabs>
                <w:tab w:val="left" w:pos="567"/>
              </w:tabs>
              <w:spacing w:after="0"/>
              <w:rPr>
                <w:rFonts w:ascii="Arial" w:hAnsi="Arial" w:cs="Arial"/>
                <w:color w:val="00B050"/>
                <w:lang w:eastAsia="ja-JP"/>
              </w:rPr>
            </w:pPr>
          </w:p>
        </w:tc>
        <w:tc>
          <w:tcPr>
            <w:tcW w:w="1842" w:type="dxa"/>
          </w:tcPr>
          <w:p w14:paraId="58B9C76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Core part: </w:t>
            </w:r>
          </w:p>
          <w:p w14:paraId="6A2369FF" w14:textId="35B96615"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Overall: </w:t>
            </w:r>
            <w:r w:rsidR="00180B46">
              <w:rPr>
                <w:rFonts w:ascii="Arial" w:hAnsi="Arial" w:cs="Arial"/>
                <w:color w:val="00B050"/>
                <w:lang w:eastAsia="ja-JP"/>
              </w:rPr>
              <w:t>4</w:t>
            </w:r>
            <w:r>
              <w:rPr>
                <w:rFonts w:ascii="Arial" w:hAnsi="Arial" w:cs="Arial"/>
                <w:color w:val="00B050"/>
                <w:lang w:eastAsia="ja-JP"/>
              </w:rPr>
              <w:t>0%</w:t>
            </w:r>
          </w:p>
          <w:p w14:paraId="6BA64296" w14:textId="77777777" w:rsidR="00F9174B" w:rsidRDefault="00F9174B">
            <w:pPr>
              <w:tabs>
                <w:tab w:val="left" w:pos="567"/>
              </w:tabs>
              <w:spacing w:after="0"/>
              <w:rPr>
                <w:rFonts w:ascii="Arial" w:hAnsi="Arial" w:cs="Arial"/>
                <w:color w:val="00B050"/>
                <w:lang w:eastAsia="ja-JP"/>
              </w:rPr>
            </w:pPr>
          </w:p>
          <w:p w14:paraId="6455645C" w14:textId="77777777" w:rsidR="00F9174B" w:rsidRDefault="00827744">
            <w:pPr>
              <w:tabs>
                <w:tab w:val="left" w:pos="567"/>
              </w:tabs>
              <w:spacing w:after="0"/>
              <w:rPr>
                <w:rFonts w:ascii="Arial" w:hAnsi="Arial" w:cs="Arial"/>
                <w:lang w:eastAsia="ja-JP"/>
              </w:rPr>
            </w:pPr>
            <w:r>
              <w:rPr>
                <w:rFonts w:ascii="Arial" w:hAnsi="Arial" w:cs="Arial"/>
                <w:lang w:eastAsia="ja-JP"/>
              </w:rPr>
              <w:t>For information</w:t>
            </w:r>
          </w:p>
          <w:p w14:paraId="3AF7FE9B" w14:textId="769EB54C"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RAN1: </w:t>
            </w:r>
            <w:r w:rsidR="00FC52D7" w:rsidRPr="00FC52D7">
              <w:rPr>
                <w:rFonts w:ascii="Arial" w:hAnsi="Arial" w:cs="Arial"/>
                <w:color w:val="00B050"/>
                <w:lang w:eastAsia="ja-JP"/>
              </w:rPr>
              <w:t>5</w:t>
            </w:r>
            <w:r w:rsidRPr="00FC52D7">
              <w:rPr>
                <w:rFonts w:ascii="Arial" w:hAnsi="Arial" w:cs="Arial"/>
                <w:color w:val="00B050"/>
                <w:lang w:eastAsia="ja-JP"/>
              </w:rPr>
              <w:t>0%</w:t>
            </w:r>
            <w:r>
              <w:rPr>
                <w:rFonts w:ascii="Arial" w:hAnsi="Arial" w:cs="Arial"/>
                <w:color w:val="00B050"/>
                <w:lang w:eastAsia="ja-JP"/>
              </w:rPr>
              <w:t xml:space="preserve"> </w:t>
            </w:r>
          </w:p>
          <w:p w14:paraId="56EF4A56" w14:textId="7360B6F6"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RAN2: </w:t>
            </w:r>
            <w:r w:rsidR="002C7D3B">
              <w:rPr>
                <w:rFonts w:ascii="Arial" w:hAnsi="Arial" w:cs="Arial"/>
                <w:color w:val="00B050"/>
                <w:lang w:eastAsia="ja-JP"/>
              </w:rPr>
              <w:t>35</w:t>
            </w:r>
            <w:r>
              <w:rPr>
                <w:rFonts w:ascii="Arial" w:hAnsi="Arial" w:cs="Arial"/>
                <w:color w:val="00B050"/>
                <w:lang w:eastAsia="ja-JP"/>
              </w:rPr>
              <w:t>%</w:t>
            </w:r>
          </w:p>
          <w:p w14:paraId="3503B0C4" w14:textId="1BE63EB0" w:rsidR="00F9174B" w:rsidRDefault="00827744">
            <w:pPr>
              <w:tabs>
                <w:tab w:val="left" w:pos="567"/>
              </w:tabs>
              <w:spacing w:after="0"/>
              <w:rPr>
                <w:rFonts w:ascii="Arial" w:hAnsi="Arial" w:cs="Arial"/>
                <w:color w:val="00B050"/>
                <w:lang w:eastAsia="ja-JP"/>
              </w:rPr>
            </w:pPr>
            <w:r w:rsidRPr="00DB2CB7">
              <w:rPr>
                <w:rFonts w:ascii="Arial" w:hAnsi="Arial" w:cs="Arial"/>
                <w:color w:val="00B050"/>
                <w:lang w:eastAsia="ja-JP"/>
              </w:rPr>
              <w:t xml:space="preserve">RAN3: </w:t>
            </w:r>
            <w:r w:rsidR="00180B46">
              <w:rPr>
                <w:rFonts w:ascii="Arial" w:hAnsi="Arial" w:cs="Arial"/>
                <w:color w:val="00B050"/>
                <w:lang w:eastAsia="ja-JP"/>
              </w:rPr>
              <w:t>35</w:t>
            </w:r>
            <w:r w:rsidRPr="00180B46">
              <w:rPr>
                <w:rFonts w:ascii="Arial" w:hAnsi="Arial" w:cs="Arial"/>
                <w:color w:val="00B050"/>
                <w:lang w:eastAsia="ja-JP"/>
              </w:rPr>
              <w:t>%</w:t>
            </w:r>
          </w:p>
          <w:p w14:paraId="69A11BC7" w14:textId="77777777"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RAN4: 0%</w:t>
            </w:r>
          </w:p>
        </w:tc>
        <w:tc>
          <w:tcPr>
            <w:tcW w:w="2268" w:type="dxa"/>
          </w:tcPr>
          <w:p w14:paraId="786175FC" w14:textId="2520FA2B" w:rsidR="00CF2F36" w:rsidRPr="00905977" w:rsidRDefault="00827744" w:rsidP="00CF2F36">
            <w:pPr>
              <w:tabs>
                <w:tab w:val="left" w:pos="567"/>
              </w:tabs>
              <w:spacing w:after="0"/>
              <w:rPr>
                <w:rFonts w:ascii="Arial" w:hAnsi="Arial" w:cs="Arial"/>
                <w:lang w:eastAsia="ja-JP"/>
              </w:rPr>
            </w:pPr>
            <w:r>
              <w:rPr>
                <w:rFonts w:ascii="Arial" w:hAnsi="Arial" w:cs="Arial"/>
                <w:lang w:eastAsia="ja-JP"/>
              </w:rPr>
              <w:t xml:space="preserve">Performance Part: </w:t>
            </w:r>
            <w:r w:rsidR="00CF2F36">
              <w:rPr>
                <w:rFonts w:ascii="Arial" w:hAnsi="Arial" w:cs="Arial"/>
                <w:color w:val="00B050"/>
                <w:lang w:eastAsia="ja-JP"/>
              </w:rPr>
              <w:t>0%</w:t>
            </w:r>
          </w:p>
          <w:p w14:paraId="5830AEDD" w14:textId="4A487696" w:rsidR="00F9174B" w:rsidRDefault="00F9174B">
            <w:pPr>
              <w:tabs>
                <w:tab w:val="left" w:pos="567"/>
              </w:tabs>
              <w:spacing w:after="0"/>
              <w:rPr>
                <w:rFonts w:ascii="Arial" w:hAnsi="Arial" w:cs="Arial"/>
                <w:lang w:eastAsia="ja-JP"/>
              </w:rPr>
            </w:pPr>
          </w:p>
        </w:tc>
        <w:tc>
          <w:tcPr>
            <w:tcW w:w="1694" w:type="dxa"/>
            <w:gridSpan w:val="2"/>
          </w:tcPr>
          <w:p w14:paraId="5EB12CEC"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Note: Overall completion level percentage numbers should use one of the colors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7766E9">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77777777" w:rsidR="00F9174B" w:rsidRDefault="00827744">
            <w:pPr>
              <w:pStyle w:val="TAL"/>
              <w:jc w:val="center"/>
              <w:rPr>
                <w:color w:val="FF0000"/>
                <w:lang w:eastAsia="ja-JP"/>
              </w:rPr>
            </w:pPr>
            <w:r>
              <w:rPr>
                <w:color w:val="000000" w:themeColor="text1"/>
                <w:lang w:eastAsia="ja-JP"/>
              </w:rPr>
              <w:t>No</w:t>
            </w:r>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77777777" w:rsidR="00F9174B" w:rsidRDefault="00827744">
      <w:pPr>
        <w:spacing w:after="0"/>
        <w:rPr>
          <w:rFonts w:ascii="Arial" w:hAnsi="Arial" w:cs="Arial"/>
          <w:b/>
        </w:rPr>
      </w:pPr>
      <w:r>
        <w:rPr>
          <w:rFonts w:ascii="Arial" w:hAnsi="Arial" w:cs="Arial"/>
          <w:b/>
        </w:rPr>
        <w:lastRenderedPageBreak/>
        <w:t>Additional explanations/motivations for the time budget changes in the attached Excel table:</w:t>
      </w:r>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77777777" w:rsidR="00F9174B" w:rsidRDefault="00827744">
      <w:pPr>
        <w:rPr>
          <w:rFonts w:ascii="Arial" w:hAnsi="Arial" w:cs="Arial"/>
        </w:rPr>
      </w:pPr>
      <w:r>
        <w:tab/>
      </w:r>
      <w:r>
        <w:rPr>
          <w:rFonts w:ascii="Arial" w:hAnsi="Arial" w:cs="Arial"/>
          <w:color w:val="FF0000"/>
        </w:rPr>
        <w:t>NOTE: Agreements and Open issues impacted cross-TSG aspects shall be explicitly highlighted</w:t>
      </w:r>
    </w:p>
    <w:p w14:paraId="241DDF01" w14:textId="77777777" w:rsidR="00F9174B" w:rsidRDefault="00827744">
      <w:pPr>
        <w:pStyle w:val="Heading2"/>
        <w:keepNext w:val="0"/>
        <w:rPr>
          <w:lang w:eastAsia="ja-JP"/>
        </w:rPr>
      </w:pPr>
      <w:r>
        <w:rPr>
          <w:lang w:eastAsia="ja-JP"/>
        </w:rPr>
        <w:t>2.1</w:t>
      </w:r>
      <w:r>
        <w:rPr>
          <w:lang w:eastAsia="ja-JP"/>
        </w:rPr>
        <w:tab/>
      </w:r>
      <w:r>
        <w:rPr>
          <w:rFonts w:hint="eastAsia"/>
          <w:lang w:eastAsia="ja-JP"/>
        </w:rPr>
        <w:t>RAN1</w:t>
      </w:r>
    </w:p>
    <w:p w14:paraId="2900DCB1" w14:textId="77777777" w:rsidR="00F9174B" w:rsidRDefault="00827744">
      <w:pPr>
        <w:pStyle w:val="Heading4"/>
        <w:keepNext w:val="0"/>
        <w:rPr>
          <w:lang w:eastAsia="ja-JP"/>
        </w:rPr>
      </w:pPr>
      <w:r>
        <w:rPr>
          <w:lang w:eastAsia="ja-JP"/>
        </w:rPr>
        <w:t>2.1.1</w:t>
      </w:r>
      <w:r>
        <w:rPr>
          <w:lang w:eastAsia="ja-JP"/>
        </w:rPr>
        <w:tab/>
        <w:t>Agreements</w:t>
      </w:r>
    </w:p>
    <w:p w14:paraId="211F360A" w14:textId="77777777" w:rsidR="00F9174B" w:rsidRDefault="00F9174B">
      <w:pPr>
        <w:rPr>
          <w:lang w:eastAsia="ja-JP"/>
        </w:rPr>
      </w:pPr>
    </w:p>
    <w:p w14:paraId="4568D8E7" w14:textId="6121B18B" w:rsidR="00F9174B" w:rsidRPr="002A1167" w:rsidRDefault="00827744">
      <w:pPr>
        <w:outlineLvl w:val="5"/>
        <w:rPr>
          <w:rFonts w:ascii="Arial" w:hAnsi="Arial" w:cs="Arial"/>
          <w:b/>
          <w:highlight w:val="yellow"/>
          <w:lang w:eastAsia="en-US"/>
        </w:rPr>
      </w:pPr>
      <w:r w:rsidRPr="00544EA6">
        <w:rPr>
          <w:rFonts w:ascii="Arial" w:hAnsi="Arial" w:cs="Arial"/>
          <w:b/>
          <w:lang w:eastAsia="en-US"/>
        </w:rPr>
        <w:t>RAN1#11</w:t>
      </w:r>
      <w:r w:rsidR="00544EA6" w:rsidRPr="00544EA6">
        <w:rPr>
          <w:rFonts w:ascii="Arial" w:hAnsi="Arial" w:cs="Arial"/>
          <w:b/>
          <w:lang w:eastAsia="en-US"/>
        </w:rPr>
        <w:t>1</w:t>
      </w:r>
      <w:r w:rsidRPr="00544EA6">
        <w:rPr>
          <w:rFonts w:ascii="Arial" w:hAnsi="Arial" w:cs="Arial"/>
          <w:b/>
          <w:lang w:eastAsia="en-US"/>
        </w:rPr>
        <w:t xml:space="preserve">, </w:t>
      </w:r>
      <w:r w:rsidR="00544EA6" w:rsidRPr="00544EA6">
        <w:rPr>
          <w:rFonts w:ascii="Arial" w:hAnsi="Arial" w:cs="Arial"/>
          <w:b/>
          <w:lang w:eastAsia="en-US"/>
        </w:rPr>
        <w:t>Toulouse, France, November 14th – 18th, 2022</w:t>
      </w:r>
    </w:p>
    <w:p w14:paraId="6255E364" w14:textId="77777777" w:rsidR="00F9174B" w:rsidRPr="002A1167" w:rsidRDefault="00F9174B">
      <w:pPr>
        <w:rPr>
          <w:highlight w:val="yellow"/>
          <w:lang w:eastAsia="ja-JP"/>
        </w:rPr>
      </w:pPr>
    </w:p>
    <w:p w14:paraId="14016C7D" w14:textId="4B9D8EB9" w:rsidR="00F9174B" w:rsidRPr="00544EA6" w:rsidRDefault="00827744">
      <w:pPr>
        <w:rPr>
          <w:b/>
          <w:lang w:eastAsia="ja-JP"/>
        </w:rPr>
      </w:pPr>
      <w:r w:rsidRPr="00544EA6">
        <w:rPr>
          <w:rFonts w:ascii="Arial" w:hAnsi="Arial" w:cs="Arial"/>
          <w:b/>
          <w:u w:val="single"/>
          <w:lang w:eastAsia="ja-JP"/>
        </w:rPr>
        <w:t>Agreements on “9.1</w:t>
      </w:r>
      <w:r w:rsidR="00544EA6">
        <w:rPr>
          <w:rFonts w:ascii="Arial" w:hAnsi="Arial" w:cs="Arial"/>
          <w:b/>
          <w:u w:val="single"/>
          <w:lang w:eastAsia="ja-JP"/>
        </w:rPr>
        <w:t>1</w:t>
      </w:r>
      <w:r w:rsidRPr="00544EA6">
        <w:rPr>
          <w:rFonts w:ascii="Arial" w:hAnsi="Arial" w:cs="Arial"/>
          <w:b/>
          <w:u w:val="single"/>
          <w:lang w:eastAsia="ja-JP"/>
        </w:rPr>
        <w:t>.3 Disabling of HARQ feedback for IoT NTN”</w:t>
      </w:r>
    </w:p>
    <w:p w14:paraId="15ABC63D" w14:textId="4C0599D8" w:rsidR="00F9174B" w:rsidRDefault="00F9174B">
      <w:pPr>
        <w:pStyle w:val="NormalWeb"/>
        <w:spacing w:before="0" w:beforeAutospacing="0" w:after="0" w:afterAutospacing="0"/>
        <w:rPr>
          <w:rFonts w:ascii="Arial" w:hAnsi="Arial" w:cs="Arial"/>
          <w:color w:val="000000"/>
          <w:sz w:val="20"/>
          <w:szCs w:val="20"/>
          <w:highlight w:val="yellow"/>
          <w:u w:val="single"/>
        </w:rPr>
      </w:pPr>
    </w:p>
    <w:p w14:paraId="5C09EB09" w14:textId="77777777" w:rsidR="00544EA6" w:rsidRDefault="00544EA6" w:rsidP="00544EA6">
      <w:pPr>
        <w:spacing w:beforeLines="50" w:before="120" w:afterLines="50" w:after="120"/>
        <w:rPr>
          <w:b/>
          <w:bCs/>
          <w:iCs/>
          <w:lang w:eastAsia="zh-CN"/>
        </w:rPr>
      </w:pPr>
      <w:r>
        <w:rPr>
          <w:b/>
          <w:bCs/>
          <w:iCs/>
          <w:highlight w:val="darkYellow"/>
          <w:lang w:eastAsia="zh-CN"/>
        </w:rPr>
        <w:t>Working assumption</w:t>
      </w:r>
    </w:p>
    <w:p w14:paraId="038AA91E" w14:textId="77777777" w:rsidR="00544EA6" w:rsidRDefault="00544EA6" w:rsidP="00544EA6">
      <w:r>
        <w:t xml:space="preserve">For NB-IoT NTN and </w:t>
      </w:r>
      <w:r>
        <w:rPr>
          <w:lang w:eastAsia="zh-CN"/>
        </w:rPr>
        <w:t>eMTC NTN for CE Mode B</w:t>
      </w:r>
      <w:r>
        <w:t>, to configure/indicate enabling/disabling of HARQ feedback for downlink transmission:</w:t>
      </w:r>
    </w:p>
    <w:p w14:paraId="79868623" w14:textId="77777777" w:rsidR="00544EA6" w:rsidRDefault="00544EA6" w:rsidP="00544EA6">
      <w:pPr>
        <w:tabs>
          <w:tab w:val="num" w:pos="360"/>
        </w:tabs>
        <w:snapToGrid w:val="0"/>
        <w:ind w:left="720"/>
      </w:pPr>
      <w:r>
        <w:t>Support Option 1 by default, and support Option 3 to override default configuration for corresponding transmission</w:t>
      </w:r>
    </w:p>
    <w:p w14:paraId="38D4ED4B" w14:textId="77777777" w:rsidR="00544EA6" w:rsidRDefault="00544EA6" w:rsidP="00544EA6">
      <w:pPr>
        <w:tabs>
          <w:tab w:val="num" w:pos="360"/>
        </w:tabs>
        <w:snapToGrid w:val="0"/>
        <w:ind w:left="1134"/>
      </w:pPr>
      <w:r>
        <w:rPr>
          <w:lang w:eastAsia="zh-CN"/>
        </w:rPr>
        <w:t>Additional RRC signaling to enable Option 3</w:t>
      </w:r>
    </w:p>
    <w:p w14:paraId="5BA02465" w14:textId="77777777" w:rsidR="00544EA6" w:rsidRDefault="00544EA6" w:rsidP="00544EA6">
      <w:pPr>
        <w:tabs>
          <w:tab w:val="num" w:pos="360"/>
        </w:tabs>
        <w:snapToGrid w:val="0"/>
        <w:ind w:left="1134"/>
      </w:pPr>
      <w:r>
        <w:t>If the bitmap for option 1 is not present and if option 3 is configured then the DCI directly indicates HARQ enable/disable. Option 3 can also be configured when the bitmap for option 1 is configured.</w:t>
      </w:r>
    </w:p>
    <w:p w14:paraId="29A121D7" w14:textId="77777777" w:rsidR="00544EA6" w:rsidRDefault="00544EA6" w:rsidP="00544EA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259C0535" w14:textId="77777777" w:rsidR="00544EA6" w:rsidRDefault="00544EA6" w:rsidP="00544EA6">
      <w:pPr>
        <w:tabs>
          <w:tab w:val="num" w:pos="360"/>
        </w:tabs>
        <w:snapToGrid w:val="0"/>
        <w:ind w:left="1134"/>
      </w:pPr>
      <w:r>
        <w:rPr>
          <w:lang w:eastAsia="zh-CN"/>
        </w:rPr>
        <w:t>FFS #2: whether/how to support Option 3 overriding default configuration for corresponding transmission for multiple TBs scheduled by single DCI</w:t>
      </w:r>
    </w:p>
    <w:p w14:paraId="6D807C65" w14:textId="749D7301" w:rsidR="00544EA6" w:rsidRDefault="00544EA6" w:rsidP="00544EA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5751DCA1" w14:textId="77777777" w:rsidR="00544EA6" w:rsidRDefault="00544EA6" w:rsidP="00544EA6">
      <w:pPr>
        <w:rPr>
          <w:lang w:eastAsia="zh-CN"/>
        </w:rPr>
      </w:pPr>
    </w:p>
    <w:p w14:paraId="2716B8ED" w14:textId="1B94854E" w:rsidR="00F9174B" w:rsidRPr="00544EA6" w:rsidRDefault="00827744">
      <w:pPr>
        <w:tabs>
          <w:tab w:val="left" w:pos="567"/>
        </w:tabs>
        <w:overflowPunct/>
        <w:autoSpaceDE/>
        <w:autoSpaceDN/>
        <w:snapToGrid w:val="0"/>
        <w:spacing w:after="0"/>
        <w:rPr>
          <w:rFonts w:ascii="Arial" w:hAnsi="Arial" w:cs="Arial"/>
          <w:b/>
          <w:u w:val="single"/>
          <w:lang w:eastAsia="ja-JP"/>
        </w:rPr>
      </w:pPr>
      <w:r w:rsidRPr="00544EA6">
        <w:rPr>
          <w:rFonts w:ascii="Arial" w:hAnsi="Arial" w:cs="Arial"/>
          <w:b/>
          <w:u w:val="single"/>
          <w:lang w:eastAsia="ja-JP"/>
        </w:rPr>
        <w:t>Agreements on “9.1</w:t>
      </w:r>
      <w:r w:rsidR="00544EA6" w:rsidRPr="00544EA6">
        <w:rPr>
          <w:rFonts w:ascii="Arial" w:hAnsi="Arial" w:cs="Arial"/>
          <w:b/>
          <w:u w:val="single"/>
          <w:lang w:eastAsia="ja-JP"/>
        </w:rPr>
        <w:t>1</w:t>
      </w:r>
      <w:r w:rsidRPr="00544EA6">
        <w:rPr>
          <w:rFonts w:ascii="Arial" w:hAnsi="Arial" w:cs="Arial"/>
          <w:b/>
          <w:u w:val="single"/>
          <w:lang w:eastAsia="ja-JP"/>
        </w:rPr>
        <w:t>.4</w:t>
      </w:r>
      <w:r w:rsidRPr="00544EA6">
        <w:rPr>
          <w:rFonts w:ascii="Arial" w:hAnsi="Arial" w:cs="Arial"/>
          <w:b/>
          <w:u w:val="single"/>
          <w:lang w:eastAsia="ja-JP"/>
        </w:rPr>
        <w:tab/>
        <w:t>Improved GNSS operations for IoT NTN”</w:t>
      </w:r>
    </w:p>
    <w:p w14:paraId="2DC11306" w14:textId="2F5D9766" w:rsidR="00F9174B" w:rsidRDefault="00F9174B">
      <w:pPr>
        <w:rPr>
          <w:rFonts w:ascii="Arial" w:hAnsi="Arial" w:cs="Arial"/>
          <w:highlight w:val="yellow"/>
          <w:lang w:eastAsia="ja-JP"/>
        </w:rPr>
      </w:pPr>
    </w:p>
    <w:p w14:paraId="2D9FF744" w14:textId="77777777" w:rsidR="00544EA6" w:rsidRDefault="00544EA6" w:rsidP="00544EA6">
      <w:pPr>
        <w:rPr>
          <w:b/>
          <w:iCs/>
        </w:rPr>
      </w:pPr>
      <w:r>
        <w:rPr>
          <w:b/>
          <w:iCs/>
          <w:highlight w:val="green"/>
        </w:rPr>
        <w:t>Agreement</w:t>
      </w:r>
    </w:p>
    <w:p w14:paraId="6CDDB308" w14:textId="77777777" w:rsidR="00544EA6" w:rsidRDefault="00544EA6" w:rsidP="00544EA6">
      <w:r>
        <w:rPr>
          <w:bCs/>
          <w:iCs/>
        </w:rPr>
        <w:t>For GNSS measurement in RRC connected, if eNB aperiodically triggers connected UE to make GNSS measurement, UE can re-acquire GNSS position fix with a gap</w:t>
      </w:r>
    </w:p>
    <w:p w14:paraId="102A371D" w14:textId="77777777" w:rsidR="00544EA6" w:rsidRDefault="00544EA6" w:rsidP="00544EA6">
      <w:pPr>
        <w:tabs>
          <w:tab w:val="num" w:pos="360"/>
        </w:tabs>
        <w:snapToGrid w:val="0"/>
        <w:ind w:left="720"/>
      </w:pPr>
      <w:r>
        <w:t>FFS details of gap configuration</w:t>
      </w:r>
    </w:p>
    <w:p w14:paraId="3E911B18" w14:textId="77777777" w:rsidR="00544EA6" w:rsidRDefault="00544EA6" w:rsidP="00544EA6">
      <w:pPr>
        <w:spacing w:after="0"/>
        <w:rPr>
          <w:bCs/>
          <w:iCs/>
        </w:rPr>
      </w:pPr>
      <w:r>
        <w:rPr>
          <w:bCs/>
          <w:iCs/>
        </w:rPr>
        <w:t>The UE may re-acquire GNSS autonomously (when configured by the network) if UE does not receive eNB trigger to make GNSS measurement</w:t>
      </w:r>
    </w:p>
    <w:p w14:paraId="5FC92D1A" w14:textId="77777777" w:rsidR="00544EA6" w:rsidRDefault="00544EA6" w:rsidP="00544EA6">
      <w:pPr>
        <w:tabs>
          <w:tab w:val="num" w:pos="360"/>
        </w:tabs>
        <w:snapToGrid w:val="0"/>
        <w:ind w:left="720"/>
      </w:pPr>
      <w:r>
        <w:t xml:space="preserve">FFS based on configured timing </w:t>
      </w:r>
    </w:p>
    <w:p w14:paraId="58C49457" w14:textId="2DB2DA6F" w:rsidR="00F9174B" w:rsidRDefault="00F9174B">
      <w:pPr>
        <w:rPr>
          <w:rFonts w:ascii="Arial" w:hAnsi="Arial" w:cs="Arial"/>
          <w:highlight w:val="yellow"/>
          <w:lang w:eastAsia="ja-JP"/>
        </w:rPr>
      </w:pPr>
    </w:p>
    <w:p w14:paraId="4172A852" w14:textId="66B01D04" w:rsidR="00106C66" w:rsidRDefault="00106C66">
      <w:pPr>
        <w:rPr>
          <w:rFonts w:ascii="Arial" w:hAnsi="Arial" w:cs="Arial"/>
          <w:highlight w:val="yellow"/>
          <w:lang w:eastAsia="ja-JP"/>
        </w:rPr>
      </w:pPr>
    </w:p>
    <w:p w14:paraId="0A53D2BB" w14:textId="77777777" w:rsidR="00106C66" w:rsidRDefault="00106C66" w:rsidP="00106C66">
      <w:pPr>
        <w:outlineLvl w:val="5"/>
        <w:rPr>
          <w:rFonts w:ascii="Arial" w:hAnsi="Arial" w:cs="Arial"/>
          <w:b/>
          <w:highlight w:val="yellow"/>
          <w:lang w:eastAsia="en-US"/>
        </w:rPr>
      </w:pPr>
      <w:r>
        <w:rPr>
          <w:rFonts w:ascii="Arial" w:hAnsi="Arial" w:cs="Arial"/>
          <w:b/>
          <w:lang w:eastAsia="en-US"/>
        </w:rPr>
        <w:t>RAN1#110b-e, October 10th – 19th, 2022</w:t>
      </w:r>
    </w:p>
    <w:p w14:paraId="6B16578C" w14:textId="77777777" w:rsidR="00106C66" w:rsidRDefault="00106C66" w:rsidP="00106C66">
      <w:pPr>
        <w:rPr>
          <w:b/>
          <w:lang w:eastAsia="ja-JP"/>
        </w:rPr>
      </w:pPr>
      <w:r>
        <w:rPr>
          <w:rFonts w:ascii="Arial" w:hAnsi="Arial" w:cs="Arial"/>
          <w:b/>
          <w:u w:val="single"/>
          <w:lang w:eastAsia="ja-JP"/>
        </w:rPr>
        <w:lastRenderedPageBreak/>
        <w:t>Agreements on “9.11.3 Disabling of HARQ feedback for IoT NTN”</w:t>
      </w:r>
    </w:p>
    <w:p w14:paraId="19323536" w14:textId="77777777" w:rsidR="00106C66" w:rsidRDefault="00106C66" w:rsidP="00106C66">
      <w:pPr>
        <w:rPr>
          <w:rFonts w:eastAsia="SimSun"/>
          <w:lang w:val="en-US"/>
        </w:rPr>
      </w:pPr>
      <w:r>
        <w:rPr>
          <w:highlight w:val="green"/>
        </w:rPr>
        <w:t>Agreement</w:t>
      </w:r>
    </w:p>
    <w:p w14:paraId="0D560A62" w14:textId="25232A80" w:rsidR="00106C66" w:rsidRPr="00106C66" w:rsidRDefault="00106C66">
      <w:r>
        <w:t>For a DL HARQ process with disabled HARQ feedback in NB-IoT, UE is not required to monitor NPDCCH in a period of Y=12(ms) from the end of reception of the NPDSCH.</w:t>
      </w:r>
    </w:p>
    <w:p w14:paraId="038339AA" w14:textId="77777777" w:rsidR="00106C66" w:rsidRDefault="00106C66" w:rsidP="00106C66">
      <w:r>
        <w:rPr>
          <w:highlight w:val="green"/>
        </w:rPr>
        <w:t>Agreement</w:t>
      </w:r>
    </w:p>
    <w:p w14:paraId="5C47E7DA" w14:textId="77777777" w:rsidR="00106C66" w:rsidRDefault="00106C66" w:rsidP="00106C66">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4D967FC5" w14:textId="77777777" w:rsidR="00106C66" w:rsidRDefault="00106C66" w:rsidP="00106C66">
      <w:pPr>
        <w:tabs>
          <w:tab w:val="num" w:pos="360"/>
        </w:tabs>
        <w:rPr>
          <w:lang w:val="en-US"/>
        </w:rPr>
      </w:pPr>
      <w:r>
        <w:rPr>
          <w:lang w:val="en-US"/>
        </w:rPr>
        <w:t>Option 6a-1: Support RRC signaling configured between Option 1 and Option 3</w:t>
      </w:r>
    </w:p>
    <w:p w14:paraId="21B07FC9" w14:textId="77777777" w:rsidR="00106C66" w:rsidRDefault="00106C66" w:rsidP="00106C66">
      <w:pPr>
        <w:tabs>
          <w:tab w:val="num" w:pos="360"/>
        </w:tabs>
        <w:rPr>
          <w:lang w:val="en-US"/>
        </w:rPr>
      </w:pPr>
      <w:r>
        <w:rPr>
          <w:lang w:val="en-US"/>
        </w:rPr>
        <w:t>Option 6a-4: Support Option 1 by default, and support Option 3 to override default configuration for corresponding transmission</w:t>
      </w:r>
    </w:p>
    <w:p w14:paraId="65FA2311" w14:textId="77777777" w:rsidR="00106C66" w:rsidRDefault="00106C66">
      <w:pPr>
        <w:rPr>
          <w:rFonts w:ascii="Arial" w:hAnsi="Arial" w:cs="Arial"/>
          <w:highlight w:val="yellow"/>
          <w:lang w:eastAsia="ja-JP"/>
        </w:rPr>
      </w:pPr>
    </w:p>
    <w:p w14:paraId="1B731D06" w14:textId="20592D50" w:rsidR="00106C66" w:rsidRDefault="00106C66" w:rsidP="00106C66">
      <w:pPr>
        <w:tabs>
          <w:tab w:val="left" w:pos="567"/>
        </w:tabs>
        <w:overflowPunct/>
        <w:autoSpaceDE/>
        <w:snapToGrid w:val="0"/>
        <w:spacing w:after="0"/>
        <w:rPr>
          <w:rFonts w:ascii="Arial" w:hAnsi="Arial" w:cs="Arial"/>
          <w:b/>
          <w:u w:val="single"/>
          <w:lang w:eastAsia="ja-JP"/>
        </w:rPr>
      </w:pPr>
      <w:r>
        <w:rPr>
          <w:rFonts w:ascii="Arial" w:hAnsi="Arial" w:cs="Arial"/>
          <w:b/>
          <w:u w:val="single"/>
          <w:lang w:eastAsia="ja-JP"/>
        </w:rPr>
        <w:t>Agreements on “9.11.4</w:t>
      </w:r>
      <w:r>
        <w:rPr>
          <w:rFonts w:ascii="Arial" w:hAnsi="Arial" w:cs="Arial"/>
          <w:b/>
          <w:u w:val="single"/>
          <w:lang w:eastAsia="ja-JP"/>
        </w:rPr>
        <w:tab/>
        <w:t>Improved GNSS operations for IoT NTN”</w:t>
      </w:r>
    </w:p>
    <w:p w14:paraId="182C0EB6" w14:textId="77777777" w:rsidR="00106C66" w:rsidRPr="00106C66" w:rsidRDefault="00106C66" w:rsidP="00106C66">
      <w:pPr>
        <w:tabs>
          <w:tab w:val="left" w:pos="567"/>
        </w:tabs>
        <w:overflowPunct/>
        <w:autoSpaceDE/>
        <w:snapToGrid w:val="0"/>
        <w:spacing w:after="0"/>
        <w:rPr>
          <w:rFonts w:ascii="Arial" w:hAnsi="Arial" w:cs="Arial"/>
          <w:bCs/>
          <w:lang w:eastAsia="ja-JP"/>
        </w:rPr>
      </w:pPr>
    </w:p>
    <w:p w14:paraId="1BA4F78C" w14:textId="77777777" w:rsidR="00106C66" w:rsidRDefault="00106C66" w:rsidP="00106C66">
      <w:pPr>
        <w:rPr>
          <w:lang w:eastAsia="x-none"/>
        </w:rPr>
      </w:pPr>
      <w:r>
        <w:rPr>
          <w:highlight w:val="green"/>
          <w:lang w:eastAsia="x-none"/>
        </w:rPr>
        <w:t>Agreement</w:t>
      </w:r>
    </w:p>
    <w:p w14:paraId="4419A052" w14:textId="3E0D73E0" w:rsidR="00106C66" w:rsidRDefault="00106C66" w:rsidP="00106C66">
      <w:pPr>
        <w:tabs>
          <w:tab w:val="num" w:pos="360"/>
        </w:tabs>
        <w:rPr>
          <w:lang w:eastAsia="x-none"/>
        </w:rPr>
      </w:pPr>
      <w:r>
        <w:rPr>
          <w:lang w:eastAsia="x-none"/>
        </w:rPr>
        <w:t>Support eNB to at least aperiodically trigger UE to make GNSS measurement.</w:t>
      </w:r>
    </w:p>
    <w:p w14:paraId="6AB29D23" w14:textId="77777777" w:rsidR="00106C66" w:rsidRDefault="00106C66" w:rsidP="00106C66">
      <w:pPr>
        <w:rPr>
          <w:bCs/>
          <w:lang w:eastAsia="x-none"/>
        </w:rPr>
      </w:pPr>
      <w:r>
        <w:rPr>
          <w:bCs/>
          <w:highlight w:val="green"/>
          <w:lang w:eastAsia="x-none"/>
        </w:rPr>
        <w:t>Agreement</w:t>
      </w:r>
    </w:p>
    <w:p w14:paraId="61432539" w14:textId="77777777" w:rsidR="00106C66" w:rsidRDefault="00106C66" w:rsidP="00106C66">
      <w:pPr>
        <w:tabs>
          <w:tab w:val="num" w:pos="360"/>
        </w:tabs>
        <w:rPr>
          <w:lang w:eastAsia="x-none"/>
        </w:rPr>
      </w:pPr>
      <w:r>
        <w:rPr>
          <w:lang w:eastAsia="x-none"/>
        </w:rPr>
        <w:t>If eNB aperiodically triggers UE to make GNSS measurement, a MAC CE is used.</w:t>
      </w:r>
    </w:p>
    <w:p w14:paraId="56A5B036" w14:textId="77777777" w:rsidR="00106C66" w:rsidRDefault="00106C66" w:rsidP="00106C66">
      <w:pPr>
        <w:rPr>
          <w:bCs/>
          <w:lang w:eastAsia="x-none"/>
        </w:rPr>
      </w:pPr>
      <w:r>
        <w:rPr>
          <w:bCs/>
          <w:highlight w:val="green"/>
          <w:lang w:eastAsia="x-none"/>
        </w:rPr>
        <w:t>Agreement</w:t>
      </w:r>
    </w:p>
    <w:p w14:paraId="2D65F623" w14:textId="77777777" w:rsidR="00106C66" w:rsidRDefault="00106C66" w:rsidP="00106C66">
      <w:pPr>
        <w:rPr>
          <w:bCs/>
          <w:iCs/>
        </w:rPr>
      </w:pPr>
      <w:r>
        <w:rPr>
          <w:bCs/>
          <w:iCs/>
        </w:rPr>
        <w:t>UE reports GNSS position fix time duration for measurement at least during the initial access stage</w:t>
      </w:r>
    </w:p>
    <w:p w14:paraId="157B1C90" w14:textId="2471D537" w:rsidR="00106C66" w:rsidRPr="00106C66" w:rsidRDefault="00106C66" w:rsidP="00106C66">
      <w:pPr>
        <w:tabs>
          <w:tab w:val="num" w:pos="360"/>
        </w:tabs>
        <w:snapToGrid w:val="0"/>
        <w:ind w:left="720"/>
        <w:rPr>
          <w:szCs w:val="18"/>
          <w:lang w:val="en-US"/>
        </w:rPr>
      </w:pPr>
      <w:r>
        <w:rPr>
          <w:szCs w:val="18"/>
          <w:lang w:val="en-US"/>
        </w:rPr>
        <w:t xml:space="preserve">which message carries this information is up to RAN2 </w:t>
      </w:r>
    </w:p>
    <w:p w14:paraId="2F0382DA" w14:textId="77777777" w:rsidR="00106C66" w:rsidRDefault="00106C66" w:rsidP="00106C66">
      <w:pPr>
        <w:rPr>
          <w:bCs/>
          <w:lang w:eastAsia="x-none"/>
        </w:rPr>
      </w:pPr>
      <w:r>
        <w:rPr>
          <w:bCs/>
          <w:highlight w:val="green"/>
          <w:lang w:eastAsia="x-none"/>
        </w:rPr>
        <w:t>Agreement</w:t>
      </w:r>
    </w:p>
    <w:p w14:paraId="34BFA410" w14:textId="77777777" w:rsidR="00106C66" w:rsidRDefault="00106C66" w:rsidP="00106C66">
      <w:pPr>
        <w:rPr>
          <w:bCs/>
          <w:iCs/>
        </w:rPr>
      </w:pPr>
      <w:r>
        <w:rPr>
          <w:bCs/>
          <w:iCs/>
        </w:rPr>
        <w:t>In connected mode, UE may report GNSS validation duration with MAC CE.</w:t>
      </w:r>
    </w:p>
    <w:p w14:paraId="006AD71B" w14:textId="77777777" w:rsidR="00106C66" w:rsidRPr="002A1167" w:rsidRDefault="00106C66">
      <w:pPr>
        <w:rPr>
          <w:rFonts w:ascii="Arial" w:hAnsi="Arial" w:cs="Arial"/>
          <w:highlight w:val="yellow"/>
          <w:lang w:eastAsia="ja-JP"/>
        </w:rPr>
      </w:pPr>
    </w:p>
    <w:p w14:paraId="087BB71C" w14:textId="77777777" w:rsidR="00F9174B" w:rsidRPr="00544EA6" w:rsidRDefault="00827744">
      <w:pPr>
        <w:pStyle w:val="Heading4"/>
        <w:keepNext w:val="0"/>
        <w:numPr>
          <w:ilvl w:val="2"/>
          <w:numId w:val="13"/>
        </w:numPr>
        <w:rPr>
          <w:lang w:eastAsia="ja-JP"/>
        </w:rPr>
      </w:pPr>
      <w:r w:rsidRPr="00544EA6">
        <w:rPr>
          <w:lang w:eastAsia="ja-JP"/>
        </w:rPr>
        <w:t>Remaining Open issues</w:t>
      </w:r>
    </w:p>
    <w:p w14:paraId="0D2C570F" w14:textId="77777777" w:rsidR="00F9174B" w:rsidRPr="00544EA6" w:rsidRDefault="00827744">
      <w:pPr>
        <w:rPr>
          <w:rFonts w:ascii="Arial" w:hAnsi="Arial" w:cs="Arial"/>
          <w:lang w:eastAsia="ja-JP"/>
        </w:rPr>
      </w:pPr>
      <w:r w:rsidRPr="00544EA6">
        <w:rPr>
          <w:rFonts w:ascii="Arial" w:hAnsi="Arial" w:cs="Arial"/>
          <w:lang w:eastAsia="ja-JP"/>
        </w:rPr>
        <w:t>Objective 1 (IoT-NTN Performance Enhancements in Rel-18 to address remaining issues from Rel-17):</w:t>
      </w:r>
    </w:p>
    <w:p w14:paraId="7914A287" w14:textId="77777777" w:rsidR="00F9174B" w:rsidRPr="00544EA6" w:rsidRDefault="00827744">
      <w:pPr>
        <w:pStyle w:val="B1"/>
        <w:rPr>
          <w:rFonts w:ascii="Arial" w:hAnsi="Arial" w:cs="Arial"/>
          <w:lang w:eastAsia="ja-JP"/>
        </w:rPr>
      </w:pPr>
      <w:r w:rsidRPr="00544EA6">
        <w:rPr>
          <w:rFonts w:ascii="Arial" w:hAnsi="Arial" w:cs="Arial"/>
          <w:lang w:eastAsia="ja-JP"/>
        </w:rPr>
        <w:t>-</w:t>
      </w:r>
      <w:r w:rsidRPr="00544EA6">
        <w:rPr>
          <w:rFonts w:ascii="Arial" w:hAnsi="Arial" w:cs="Arial"/>
          <w:lang w:eastAsia="ja-JP"/>
        </w:rPr>
        <w:tab/>
        <w:t>Disabling of HARQ feedback to mitigate impact of HARQ stalling on UE data rates.</w:t>
      </w:r>
    </w:p>
    <w:p w14:paraId="27AC0B35" w14:textId="77777777" w:rsidR="00F9174B" w:rsidRDefault="00827744">
      <w:pPr>
        <w:pStyle w:val="B1"/>
        <w:rPr>
          <w:rFonts w:ascii="Arial" w:hAnsi="Arial" w:cs="Arial"/>
          <w:lang w:eastAsia="ja-JP"/>
        </w:rPr>
      </w:pPr>
      <w:r w:rsidRPr="00544EA6">
        <w:rPr>
          <w:rFonts w:ascii="Arial" w:hAnsi="Arial" w:cs="Arial"/>
          <w:lang w:eastAsia="ja-JP"/>
        </w:rPr>
        <w:t>-</w:t>
      </w:r>
      <w:r w:rsidRPr="00544EA6">
        <w:rPr>
          <w:rFonts w:ascii="Arial" w:hAnsi="Arial" w:cs="Arial"/>
          <w:lang w:eastAsia="ja-JP"/>
        </w:rPr>
        <w:tab/>
        <w:t>Study and specify, if needed, improved GNSS operations for a new position fix for UE pre-compensation during long connection times and for reduced power consumption.</w:t>
      </w:r>
    </w:p>
    <w:p w14:paraId="370DF669" w14:textId="1D4788F8" w:rsidR="00106C66" w:rsidRDefault="00106C66"/>
    <w:p w14:paraId="5C5E421F" w14:textId="77777777" w:rsidR="00106C66" w:rsidRDefault="00106C66"/>
    <w:p w14:paraId="63C930DC" w14:textId="77777777" w:rsidR="00F9174B" w:rsidRDefault="00827744">
      <w:pPr>
        <w:pStyle w:val="Heading2"/>
        <w:keepNext w:val="0"/>
        <w:rPr>
          <w:lang w:eastAsia="ja-JP"/>
        </w:rPr>
      </w:pPr>
      <w:r>
        <w:rPr>
          <w:lang w:eastAsia="ja-JP"/>
        </w:rPr>
        <w:t>2.2</w:t>
      </w:r>
      <w:r>
        <w:rPr>
          <w:lang w:eastAsia="ja-JP"/>
        </w:rPr>
        <w:tab/>
      </w:r>
      <w:r>
        <w:rPr>
          <w:rFonts w:hint="eastAsia"/>
          <w:lang w:eastAsia="ja-JP"/>
        </w:rPr>
        <w:t>RAN2</w:t>
      </w:r>
    </w:p>
    <w:p w14:paraId="38644C8D" w14:textId="77777777" w:rsidR="00F9174B" w:rsidRDefault="00827744">
      <w:pPr>
        <w:pStyle w:val="Heading4"/>
        <w:keepNext w:val="0"/>
        <w:rPr>
          <w:lang w:eastAsia="ja-JP"/>
        </w:rPr>
      </w:pPr>
      <w:r>
        <w:rPr>
          <w:lang w:eastAsia="ja-JP"/>
        </w:rPr>
        <w:t>2.2.1</w:t>
      </w:r>
      <w:r>
        <w:rPr>
          <w:lang w:eastAsia="ja-JP"/>
        </w:rPr>
        <w:tab/>
        <w:t>Agreements</w:t>
      </w:r>
    </w:p>
    <w:p w14:paraId="7AD994E3" w14:textId="0963D7A8" w:rsidR="00F9174B" w:rsidRDefault="00827744">
      <w:pPr>
        <w:outlineLvl w:val="5"/>
        <w:rPr>
          <w:rFonts w:ascii="Arial" w:hAnsi="Arial" w:cs="Arial"/>
          <w:b/>
          <w:lang w:eastAsia="en-US"/>
        </w:rPr>
      </w:pPr>
      <w:r>
        <w:rPr>
          <w:rFonts w:ascii="Arial" w:hAnsi="Arial" w:cs="Arial"/>
          <w:b/>
          <w:lang w:eastAsia="en-US"/>
        </w:rPr>
        <w:t>RAN2#1</w:t>
      </w:r>
      <w:r w:rsidR="002C7D3B">
        <w:rPr>
          <w:rFonts w:ascii="Arial" w:hAnsi="Arial" w:cs="Arial"/>
          <w:b/>
          <w:lang w:eastAsia="en-US"/>
        </w:rPr>
        <w:t>20</w:t>
      </w:r>
      <w:r>
        <w:rPr>
          <w:rFonts w:ascii="Arial" w:hAnsi="Arial" w:cs="Arial"/>
          <w:b/>
          <w:lang w:eastAsia="en-US"/>
        </w:rPr>
        <w:t xml:space="preserve">, </w:t>
      </w:r>
      <w:r w:rsidR="002C7D3B">
        <w:rPr>
          <w:rFonts w:ascii="Arial" w:hAnsi="Arial" w:cs="Arial"/>
          <w:b/>
          <w:lang w:eastAsia="en-US"/>
        </w:rPr>
        <w:t>November</w:t>
      </w:r>
      <w:r>
        <w:rPr>
          <w:rFonts w:ascii="Arial" w:hAnsi="Arial" w:cs="Arial"/>
          <w:b/>
          <w:lang w:eastAsia="en-US"/>
        </w:rPr>
        <w:t xml:space="preserve"> 1</w:t>
      </w:r>
      <w:r w:rsidR="002C7D3B">
        <w:rPr>
          <w:rFonts w:ascii="Arial" w:hAnsi="Arial" w:cs="Arial"/>
          <w:b/>
          <w:lang w:eastAsia="en-US"/>
        </w:rPr>
        <w:t>4</w:t>
      </w:r>
      <w:r>
        <w:rPr>
          <w:rFonts w:ascii="Arial" w:hAnsi="Arial" w:cs="Arial"/>
          <w:b/>
          <w:lang w:eastAsia="en-US"/>
        </w:rPr>
        <w:t xml:space="preserve">th – </w:t>
      </w:r>
      <w:r w:rsidR="002C7D3B">
        <w:rPr>
          <w:rFonts w:ascii="Arial" w:hAnsi="Arial" w:cs="Arial"/>
          <w:b/>
          <w:lang w:eastAsia="en-US"/>
        </w:rPr>
        <w:t>18</w:t>
      </w:r>
      <w:r>
        <w:rPr>
          <w:rFonts w:ascii="Arial" w:hAnsi="Arial" w:cs="Arial"/>
          <w:b/>
          <w:lang w:eastAsia="en-US"/>
        </w:rPr>
        <w:t xml:space="preserve">th, 2022, </w:t>
      </w:r>
      <w:r w:rsidR="00316D46" w:rsidRPr="00544EA6">
        <w:rPr>
          <w:rFonts w:ascii="Arial" w:hAnsi="Arial" w:cs="Arial"/>
          <w:b/>
          <w:lang w:eastAsia="en-US"/>
        </w:rPr>
        <w:t>Toulouse, France</w:t>
      </w:r>
    </w:p>
    <w:p w14:paraId="7628F9AE" w14:textId="77777777" w:rsidR="00F9174B" w:rsidRDefault="00827744">
      <w:pPr>
        <w:rPr>
          <w:b/>
          <w:lang w:eastAsia="ja-JP"/>
        </w:rPr>
      </w:pPr>
      <w:r>
        <w:rPr>
          <w:rFonts w:ascii="Arial" w:hAnsi="Arial" w:cs="Arial"/>
          <w:b/>
          <w:u w:val="single"/>
          <w:lang w:eastAsia="ja-JP"/>
        </w:rPr>
        <w:t>Agreements on “8.6.2 Performance Enhancements”</w:t>
      </w:r>
    </w:p>
    <w:p w14:paraId="1CFF78E8" w14:textId="77777777" w:rsidR="00F9174B" w:rsidRDefault="00827744">
      <w:pPr>
        <w:rPr>
          <w:rFonts w:ascii="Arial" w:hAnsi="Arial" w:cs="Arial"/>
          <w:lang w:eastAsia="ja-JP"/>
        </w:rPr>
      </w:pPr>
      <w:r>
        <w:rPr>
          <w:rFonts w:ascii="Arial" w:hAnsi="Arial" w:cs="Arial"/>
          <w:lang w:eastAsia="ja-JP"/>
        </w:rPr>
        <w:t>Agreements:</w:t>
      </w:r>
    </w:p>
    <w:p w14:paraId="2ED37C8F" w14:textId="322BDB52" w:rsidR="002C7D3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t>For NB-IoT NTN with single HARQ process when the HARQ feedback is disabled, the UE will start/restart drx-inactivity timer in the subframe containing the last repetition of the corresponding PDSCH reception plus 12 subframes.</w:t>
      </w:r>
    </w:p>
    <w:p w14:paraId="73072DED" w14:textId="1476A2BD" w:rsidR="00F9174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lastRenderedPageBreak/>
        <w:t>RAN2 understands that something needs to be added to consider the processing time also for inactivity timer of HARQ mode B. Continue the discussion on the details in the next meeting.</w:t>
      </w:r>
    </w:p>
    <w:p w14:paraId="3C075A69" w14:textId="464E93A4" w:rsidR="002C7D3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t xml:space="preserve">For eMTC, the following LCH to HARQ process mapping rules are supported: </w:t>
      </w:r>
    </w:p>
    <w:p w14:paraId="012442BF" w14:textId="1F6767E6" w:rsidR="002C7D3B" w:rsidRPr="002C7D3B" w:rsidRDefault="002C7D3B" w:rsidP="002C7D3B">
      <w:pPr>
        <w:pStyle w:val="ListParagraph"/>
        <w:numPr>
          <w:ilvl w:val="1"/>
          <w:numId w:val="29"/>
        </w:numPr>
        <w:ind w:leftChars="0"/>
        <w:rPr>
          <w:rFonts w:ascii="Arial" w:hAnsi="Arial" w:cs="Arial"/>
          <w:sz w:val="20"/>
          <w:szCs w:val="20"/>
        </w:rPr>
      </w:pPr>
      <w:r w:rsidRPr="002C7D3B">
        <w:rPr>
          <w:rFonts w:ascii="Arial" w:hAnsi="Arial" w:cs="Arial"/>
          <w:sz w:val="20"/>
          <w:szCs w:val="20"/>
        </w:rPr>
        <w:t>LCH is mapped only to a HARQ process configured with HARQ mode A;</w:t>
      </w:r>
    </w:p>
    <w:p w14:paraId="67214046" w14:textId="4426A176" w:rsidR="002C7D3B" w:rsidRPr="002C7D3B" w:rsidRDefault="002C7D3B" w:rsidP="002C7D3B">
      <w:pPr>
        <w:pStyle w:val="ListParagraph"/>
        <w:numPr>
          <w:ilvl w:val="1"/>
          <w:numId w:val="29"/>
        </w:numPr>
        <w:ind w:leftChars="0"/>
        <w:rPr>
          <w:rFonts w:ascii="Arial" w:hAnsi="Arial" w:cs="Arial"/>
          <w:sz w:val="20"/>
          <w:szCs w:val="20"/>
        </w:rPr>
      </w:pPr>
      <w:r w:rsidRPr="002C7D3B">
        <w:rPr>
          <w:rFonts w:ascii="Arial" w:hAnsi="Arial" w:cs="Arial"/>
          <w:sz w:val="20"/>
          <w:szCs w:val="20"/>
        </w:rPr>
        <w:t>LCH is mapped only to a HARQ process configured with HARQ mode B;</w:t>
      </w:r>
    </w:p>
    <w:p w14:paraId="01ABA1B0" w14:textId="52BCBFC9" w:rsidR="002C7D3B" w:rsidRPr="002C7D3B" w:rsidRDefault="002C7D3B" w:rsidP="002C7D3B">
      <w:pPr>
        <w:pStyle w:val="ListParagraph"/>
        <w:numPr>
          <w:ilvl w:val="1"/>
          <w:numId w:val="29"/>
        </w:numPr>
        <w:ind w:leftChars="0"/>
        <w:rPr>
          <w:rFonts w:ascii="Arial" w:hAnsi="Arial" w:cs="Arial"/>
          <w:sz w:val="20"/>
          <w:szCs w:val="20"/>
        </w:rPr>
      </w:pPr>
      <w:r w:rsidRPr="002C7D3B">
        <w:rPr>
          <w:rFonts w:ascii="Arial" w:hAnsi="Arial" w:cs="Arial"/>
          <w:sz w:val="20"/>
          <w:szCs w:val="20"/>
        </w:rPr>
        <w:t>If an LCH is not configured with a mapping rule, it may be mapped to any HARQ process (HARQ mode A or B).</w:t>
      </w:r>
    </w:p>
    <w:p w14:paraId="30669D3A" w14:textId="781AEFF7" w:rsidR="002C7D3B" w:rsidRPr="002C7D3B" w:rsidRDefault="002C7D3B" w:rsidP="002C7D3B">
      <w:pPr>
        <w:pStyle w:val="ListParagraph"/>
        <w:numPr>
          <w:ilvl w:val="1"/>
          <w:numId w:val="29"/>
        </w:numPr>
        <w:ind w:leftChars="0"/>
        <w:rPr>
          <w:rFonts w:ascii="Arial" w:hAnsi="Arial" w:cs="Arial"/>
          <w:sz w:val="20"/>
          <w:szCs w:val="20"/>
        </w:rPr>
      </w:pPr>
      <w:r w:rsidRPr="002C7D3B">
        <w:rPr>
          <w:rFonts w:ascii="Arial" w:hAnsi="Arial" w:cs="Arial"/>
          <w:sz w:val="20"/>
          <w:szCs w:val="20"/>
        </w:rPr>
        <w:t>If UL HARQ mode is not configured, LCH mapping rules are not supported (legacy behaviour)</w:t>
      </w:r>
    </w:p>
    <w:p w14:paraId="0438BA18" w14:textId="77777777" w:rsidR="002C7D3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t>For eMTC, introduce allowedHARQ-mode for each logical channel, e.g. included in LogicalChannelConfig IE.</w:t>
      </w:r>
      <w:r w:rsidRPr="002C7D3B">
        <w:rPr>
          <w:sz w:val="20"/>
          <w:szCs w:val="20"/>
        </w:rPr>
        <w:t xml:space="preserve"> </w:t>
      </w:r>
    </w:p>
    <w:p w14:paraId="7CE837AD" w14:textId="7E906327" w:rsidR="002C7D3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t>An optional UE capability is introduced to indicate whether the UE supports disabling HARQ feedback for downlink transmission.</w:t>
      </w:r>
    </w:p>
    <w:p w14:paraId="264DF139" w14:textId="61C0F7C9" w:rsidR="002C7D3B" w:rsidRPr="002C7D3B" w:rsidRDefault="002C7D3B" w:rsidP="002C7D3B">
      <w:pPr>
        <w:pStyle w:val="ListParagraph"/>
        <w:numPr>
          <w:ilvl w:val="0"/>
          <w:numId w:val="29"/>
        </w:numPr>
        <w:ind w:leftChars="0"/>
        <w:rPr>
          <w:rFonts w:ascii="Arial" w:hAnsi="Arial" w:cs="Arial"/>
          <w:sz w:val="20"/>
          <w:szCs w:val="20"/>
        </w:rPr>
      </w:pPr>
      <w:r w:rsidRPr="002C7D3B">
        <w:rPr>
          <w:rFonts w:ascii="Arial" w:hAnsi="Arial" w:cs="Arial"/>
          <w:sz w:val="20"/>
          <w:szCs w:val="20"/>
        </w:rPr>
        <w:t>An optional UE capability is introduced to indicate whether the UE supports HARQ Mode B and, for eMTC, the corresponding LCP restrictions for uplink transmission.</w:t>
      </w:r>
    </w:p>
    <w:p w14:paraId="46B27D47" w14:textId="487CD938" w:rsidR="002C7D3B" w:rsidRDefault="002C7D3B" w:rsidP="002C7D3B">
      <w:pPr>
        <w:rPr>
          <w:rFonts w:ascii="Arial" w:hAnsi="Arial" w:cs="Arial"/>
          <w:kern w:val="2"/>
          <w:lang w:eastAsia="ja-JP"/>
        </w:rPr>
      </w:pPr>
    </w:p>
    <w:p w14:paraId="7579DD5F" w14:textId="77777777" w:rsidR="00F9174B" w:rsidRDefault="00827744">
      <w:pPr>
        <w:rPr>
          <w:lang w:eastAsia="ja-JP"/>
        </w:rPr>
      </w:pPr>
      <w:r>
        <w:rPr>
          <w:rFonts w:ascii="Arial" w:hAnsi="Arial" w:cs="Arial"/>
          <w:b/>
          <w:u w:val="single"/>
          <w:lang w:eastAsia="ja-JP"/>
        </w:rPr>
        <w:t>Agreements on “8.6.3 Mobility Enhancements”</w:t>
      </w:r>
    </w:p>
    <w:p w14:paraId="5F2E8483" w14:textId="77777777" w:rsidR="00F9174B" w:rsidRDefault="00827744">
      <w:pPr>
        <w:rPr>
          <w:lang w:eastAsia="ja-JP"/>
        </w:rPr>
      </w:pPr>
      <w:r>
        <w:rPr>
          <w:rFonts w:ascii="Arial" w:hAnsi="Arial" w:cs="Arial"/>
          <w:lang w:eastAsia="ja-JP"/>
        </w:rPr>
        <w:t>Agreements</w:t>
      </w:r>
      <w:r>
        <w:rPr>
          <w:lang w:eastAsia="ja-JP"/>
        </w:rPr>
        <w:t>:</w:t>
      </w:r>
    </w:p>
    <w:p w14:paraId="7F3ECC49" w14:textId="28FC2121" w:rsidR="00F9174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For NB-IoT we support a trigger for neighbour cell measurements based on T-service (in the quasi-Earth fixed case) (this does not preclude anything for eMTC discussion).</w:t>
      </w:r>
    </w:p>
    <w:p w14:paraId="331D7F96" w14:textId="180F8C7C"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0DB477EF" w14:textId="44B4BECD"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RAN2 will not specify the condition of stopping UE measurement before t-Service.</w:t>
      </w:r>
    </w:p>
    <w:p w14:paraId="5F69C884" w14:textId="6508A785"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For earth-moving cell, the UE derives when loss of coverage of current cell happens (how to derive this information is FFS).</w:t>
      </w:r>
    </w:p>
    <w:p w14:paraId="6B8FA5E9" w14:textId="278D2B7E"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For earth-moving cell, UE shall start intra/inter frequency measurements in RRC connected mode before losing coverage. The exact time to start measurements can be left to UE implementation.</w:t>
      </w:r>
    </w:p>
    <w:p w14:paraId="716CA7BB" w14:textId="1D0BF555"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706BA30C" w14:textId="025878CD"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6C5AF5C6" w14:textId="1A39EDF9"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For eMTC NTN, introduce event A4 based conditional trigger (similar to condEventA4 in NR).</w:t>
      </w:r>
    </w:p>
    <w:p w14:paraId="6DCA4E52" w14:textId="0BD47C33" w:rsidR="002C7D3B" w:rsidRPr="002C7D3B" w:rsidRDefault="002C7D3B" w:rsidP="002C7D3B">
      <w:pPr>
        <w:pStyle w:val="ListParagraph"/>
        <w:numPr>
          <w:ilvl w:val="0"/>
          <w:numId w:val="30"/>
        </w:numPr>
        <w:ind w:leftChars="0"/>
        <w:rPr>
          <w:rFonts w:ascii="Arial" w:hAnsi="Arial" w:cs="Arial"/>
          <w:sz w:val="20"/>
          <w:szCs w:val="20"/>
        </w:rPr>
      </w:pPr>
      <w:r w:rsidRPr="002C7D3B">
        <w:rPr>
          <w:rFonts w:ascii="Arial" w:hAnsi="Arial" w:cs="Arial"/>
          <w:sz w:val="20"/>
          <w:szCs w:val="20"/>
        </w:rPr>
        <w:t>FFS whether time and location-based trigger conditions may be configured independently (i.e., without a jointly configured event A4 measurement condition) for eMTC NTN.</w:t>
      </w:r>
    </w:p>
    <w:p w14:paraId="326F76A7" w14:textId="77777777" w:rsidR="002C7D3B" w:rsidRDefault="002C7D3B">
      <w:pPr>
        <w:rPr>
          <w:rFonts w:ascii="Arial" w:hAnsi="Arial" w:cs="Arial"/>
        </w:rPr>
      </w:pPr>
    </w:p>
    <w:p w14:paraId="49FD6490" w14:textId="6B3C8A89" w:rsidR="00B04B2F" w:rsidRDefault="00B04B2F" w:rsidP="00B04B2F">
      <w:pPr>
        <w:outlineLvl w:val="5"/>
        <w:rPr>
          <w:rFonts w:ascii="Arial" w:hAnsi="Arial" w:cs="Arial"/>
          <w:b/>
          <w:lang w:eastAsia="en-US"/>
        </w:rPr>
      </w:pPr>
      <w:r>
        <w:rPr>
          <w:rFonts w:ascii="Arial" w:hAnsi="Arial" w:cs="Arial"/>
          <w:b/>
          <w:lang w:eastAsia="en-US"/>
        </w:rPr>
        <w:t xml:space="preserve">RAN2#119b-e, </w:t>
      </w:r>
      <w:r w:rsidR="00316D46">
        <w:rPr>
          <w:rFonts w:ascii="Arial" w:hAnsi="Arial" w:cs="Arial"/>
          <w:b/>
          <w:lang w:eastAsia="en-US"/>
        </w:rPr>
        <w:t>October 10th – 19th, 2022</w:t>
      </w:r>
      <w:r>
        <w:rPr>
          <w:rFonts w:ascii="Arial" w:hAnsi="Arial" w:cs="Arial"/>
          <w:b/>
          <w:lang w:eastAsia="en-US"/>
        </w:rPr>
        <w:t>, e-meeting</w:t>
      </w:r>
    </w:p>
    <w:p w14:paraId="276BADD1" w14:textId="77777777" w:rsidR="00D92EB2" w:rsidRDefault="00D92EB2" w:rsidP="00D92EB2">
      <w:pPr>
        <w:rPr>
          <w:b/>
          <w:lang w:eastAsia="ja-JP"/>
        </w:rPr>
      </w:pPr>
      <w:r>
        <w:rPr>
          <w:rFonts w:ascii="Arial" w:hAnsi="Arial" w:cs="Arial"/>
          <w:b/>
          <w:u w:val="single"/>
          <w:lang w:eastAsia="ja-JP"/>
        </w:rPr>
        <w:t>Agreements on “8.6.2 Performance Enhancements”</w:t>
      </w:r>
    </w:p>
    <w:p w14:paraId="6421E1C7" w14:textId="79467AA8"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For NB-IoT, enabling/disabling HARQ feedback can be configured per DL HARQ process at least via UE specific RRC signaling (e.g. RRCConnectionSetup). This does not preclude other options (e.g. DCI-based). We can also revert this decision if requested by RAN1.</w:t>
      </w:r>
    </w:p>
    <w:p w14:paraId="02DF72F4" w14:textId="6B9FEB2E"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Disabling HARQ feedback is supported for NB-IoT with single HARQ process, and it is up to eNB implementation whether to disable the HARQ feedback</w:t>
      </w:r>
    </w:p>
    <w:p w14:paraId="51499E15" w14:textId="77777777"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u w:val="single"/>
        </w:rPr>
        <w:t>Working Assumption</w:t>
      </w:r>
      <w:r w:rsidRPr="00D92EB2">
        <w:rPr>
          <w:rFonts w:ascii="Arial" w:hAnsi="Arial" w:cs="Arial"/>
          <w:sz w:val="20"/>
          <w:szCs w:val="20"/>
        </w:rPr>
        <w:t xml:space="preserve">: </w:t>
      </w:r>
    </w:p>
    <w:p w14:paraId="2730078E" w14:textId="31632E2D" w:rsidR="00F9174B" w:rsidRPr="00D92EB2" w:rsidRDefault="00D92EB2" w:rsidP="00D92EB2">
      <w:pPr>
        <w:pStyle w:val="ListParagraph"/>
        <w:numPr>
          <w:ilvl w:val="1"/>
          <w:numId w:val="34"/>
        </w:numPr>
        <w:ind w:leftChars="0"/>
        <w:rPr>
          <w:rFonts w:ascii="Arial" w:hAnsi="Arial" w:cs="Arial"/>
          <w:sz w:val="20"/>
          <w:szCs w:val="20"/>
        </w:rPr>
      </w:pPr>
      <w:r w:rsidRPr="00D92EB2">
        <w:rPr>
          <w:rFonts w:ascii="Arial" w:hAnsi="Arial" w:cs="Arial"/>
          <w:sz w:val="20"/>
          <w:szCs w:val="20"/>
        </w:rPr>
        <w:t>Blind retransmission can be used in IoT NTN when HARQ feedback is disabled and when HARQ mode B is used (RAN2 assumes there is no spec change for this).</w:t>
      </w:r>
    </w:p>
    <w:p w14:paraId="44EF492B" w14:textId="7735C477"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HARQ mode A/B for uplink transmission may be configured per UL HARQ process at least via UE specific RRC signalling for eMTC and NB-IOT NTN. We can also revert this decision if requested by RAN1.</w:t>
      </w:r>
    </w:p>
    <w:p w14:paraId="09E80F68" w14:textId="018D4DEC"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RAN2 agree to take R17 NR NTN DRX solution as baseline for IoT NTN, e.g. for HARQ process with DL HARQ feedback disabled, the UE will not start the corresponding DL HARQ RTT timer.</w:t>
      </w:r>
    </w:p>
    <w:p w14:paraId="26A3B5F7" w14:textId="7524249F"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lastRenderedPageBreak/>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71888C82" w14:textId="7A2DD50D"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RAN2 agree to take R17 NR NTN DRX solution as baseline for IoT NTN, e.g. for HARQ process in HARQ mode B, the UE will not start the corresponding UL HARQ RTT timer.</w:t>
      </w:r>
    </w:p>
    <w:p w14:paraId="1E8357E1" w14:textId="602968B7"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For NB-IoT NTN with single HARQ process in HARQ mode B, the UE will start/restart drx-inactivity timer in the subframe containing the last repetition of the corresponding PUSCH transmission (can still check whether other alternatives also work)</w:t>
      </w:r>
    </w:p>
    <w:p w14:paraId="64BEF127" w14:textId="62DC90B4" w:rsidR="00D92EB2" w:rsidRPr="00D92EB2" w:rsidRDefault="00D92EB2" w:rsidP="00D92EB2">
      <w:pPr>
        <w:pStyle w:val="ListParagraph"/>
        <w:numPr>
          <w:ilvl w:val="0"/>
          <w:numId w:val="34"/>
        </w:numPr>
        <w:ind w:leftChars="0"/>
        <w:rPr>
          <w:rFonts w:ascii="Arial" w:hAnsi="Arial" w:cs="Arial"/>
          <w:sz w:val="20"/>
          <w:szCs w:val="20"/>
        </w:rPr>
      </w:pPr>
      <w:r w:rsidRPr="00D92EB2">
        <w:rPr>
          <w:rFonts w:ascii="Arial" w:hAnsi="Arial" w:cs="Arial"/>
          <w:sz w:val="20"/>
          <w:szCs w:val="20"/>
        </w:rPr>
        <w:t>The solutions of LCP restriction on allowed HARQ mode in NR NTN can be reused for eMTC NTN.</w:t>
      </w:r>
    </w:p>
    <w:p w14:paraId="08A19114" w14:textId="394772B3" w:rsidR="00D92EB2" w:rsidRDefault="00D92EB2">
      <w:pPr>
        <w:rPr>
          <w:lang w:eastAsia="ja-JP"/>
        </w:rPr>
      </w:pPr>
    </w:p>
    <w:p w14:paraId="789E8FF3" w14:textId="77777777" w:rsidR="00F9174B" w:rsidRDefault="00827744">
      <w:pPr>
        <w:pStyle w:val="Heading4"/>
        <w:keepNext w:val="0"/>
        <w:rPr>
          <w:lang w:eastAsia="ja-JP"/>
        </w:rPr>
      </w:pPr>
      <w:r>
        <w:rPr>
          <w:lang w:eastAsia="ja-JP"/>
        </w:rPr>
        <w:t>2.2.2</w:t>
      </w:r>
      <w:r>
        <w:rPr>
          <w:lang w:eastAsia="ja-JP"/>
        </w:rPr>
        <w:tab/>
      </w:r>
      <w:bookmarkStart w:id="0" w:name="_Hlk66098907"/>
      <w:r>
        <w:rPr>
          <w:lang w:eastAsia="ja-JP"/>
        </w:rPr>
        <w:t>Remaining Open issues</w:t>
      </w:r>
      <w:bookmarkEnd w:id="0"/>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45843927" w14:textId="2B2B5CB3" w:rsidR="00F9174B" w:rsidRDefault="002C7D3B">
      <w:pPr>
        <w:pStyle w:val="ListParagraph"/>
        <w:numPr>
          <w:ilvl w:val="0"/>
          <w:numId w:val="16"/>
        </w:numPr>
        <w:ind w:leftChars="0"/>
        <w:rPr>
          <w:rFonts w:ascii="Arial" w:hAnsi="Arial" w:cs="Arial"/>
          <w:sz w:val="20"/>
          <w:szCs w:val="20"/>
        </w:rPr>
      </w:pPr>
      <w:r>
        <w:rPr>
          <w:rFonts w:ascii="Arial" w:hAnsi="Arial" w:cs="Arial"/>
          <w:sz w:val="20"/>
          <w:szCs w:val="20"/>
        </w:rPr>
        <w:t xml:space="preserve">Any possible updates on </w:t>
      </w:r>
      <w:r w:rsidR="00827744">
        <w:rPr>
          <w:rFonts w:ascii="Arial" w:hAnsi="Arial" w:cs="Arial"/>
          <w:sz w:val="20"/>
          <w:szCs w:val="20"/>
        </w:rPr>
        <w:t>RAN2 aspects for Disabling of HARQ feedback in NB-IoT NTN.</w:t>
      </w:r>
    </w:p>
    <w:p w14:paraId="7C91747E" w14:textId="21551FB6" w:rsidR="00F9174B" w:rsidRDefault="002C7D3B">
      <w:pPr>
        <w:pStyle w:val="ListParagraph"/>
        <w:numPr>
          <w:ilvl w:val="0"/>
          <w:numId w:val="16"/>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disabling HARQ feedback in DL for both NB-IoT and eMTC based NTN.</w:t>
      </w:r>
    </w:p>
    <w:p w14:paraId="732EF21E" w14:textId="4DA43125" w:rsidR="00F9174B" w:rsidRDefault="002C7D3B">
      <w:pPr>
        <w:pStyle w:val="ListParagraph"/>
        <w:numPr>
          <w:ilvl w:val="0"/>
          <w:numId w:val="16"/>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HARQ mode A and HARQ mode B for UL HARQ operation in IoT NTN.</w:t>
      </w:r>
    </w:p>
    <w:p w14:paraId="2EFE47A3" w14:textId="3F8C7185" w:rsidR="002C7D3B" w:rsidRDefault="002C7D3B">
      <w:pPr>
        <w:pStyle w:val="ListParagraph"/>
        <w:numPr>
          <w:ilvl w:val="0"/>
          <w:numId w:val="16"/>
        </w:numPr>
        <w:ind w:leftChars="0"/>
        <w:rPr>
          <w:rFonts w:ascii="Arial" w:hAnsi="Arial" w:cs="Arial"/>
          <w:sz w:val="20"/>
          <w:szCs w:val="20"/>
        </w:rPr>
      </w:pPr>
      <w:r>
        <w:rPr>
          <w:rFonts w:ascii="Arial" w:hAnsi="Arial" w:cs="Arial"/>
          <w:sz w:val="20"/>
          <w:szCs w:val="20"/>
        </w:rPr>
        <w:t>RAN2 aspects on GNSS enhancements based on RAN1 agreements.</w:t>
      </w:r>
    </w:p>
    <w:p w14:paraId="6B0B5BE9" w14:textId="77777777" w:rsidR="00F9174B" w:rsidRPr="002C7D3B" w:rsidRDefault="00F9174B">
      <w:pPr>
        <w:pStyle w:val="B1"/>
        <w:rPr>
          <w:lang w:val="en-US" w:eastAsia="ja-JP"/>
        </w:rPr>
      </w:pPr>
    </w:p>
    <w:p w14:paraId="2DD1F2F4" w14:textId="435BBFE1" w:rsidR="00F9174B" w:rsidRDefault="00827744">
      <w:pPr>
        <w:rPr>
          <w:rFonts w:ascii="Arial" w:hAnsi="Arial" w:cs="Arial"/>
          <w:lang w:eastAsia="ja-JP"/>
        </w:rPr>
      </w:pPr>
      <w:r>
        <w:rPr>
          <w:rFonts w:ascii="Arial" w:hAnsi="Arial" w:cs="Arial"/>
          <w:lang w:eastAsia="ja-JP"/>
        </w:rPr>
        <w:t>Objective 2 (</w:t>
      </w:r>
      <w:r w:rsidR="002C7D3B">
        <w:rPr>
          <w:rFonts w:ascii="Arial" w:hAnsi="Arial" w:cs="Arial"/>
          <w:lang w:eastAsia="ja-JP"/>
        </w:rPr>
        <w:t>M</w:t>
      </w:r>
      <w:r>
        <w:rPr>
          <w:rFonts w:ascii="Arial" w:hAnsi="Arial" w:cs="Arial"/>
          <w:lang w:eastAsia="ja-JP"/>
        </w:rPr>
        <w:t>obility enhancements):</w:t>
      </w:r>
    </w:p>
    <w:p w14:paraId="4551CE09" w14:textId="41916576" w:rsidR="002C7D3B" w:rsidRDefault="002C7D3B" w:rsidP="002C7D3B">
      <w:pPr>
        <w:pStyle w:val="ListParagraph"/>
        <w:numPr>
          <w:ilvl w:val="0"/>
          <w:numId w:val="17"/>
        </w:numPr>
        <w:ind w:leftChars="0"/>
        <w:rPr>
          <w:rFonts w:ascii="Arial" w:hAnsi="Arial" w:cs="Arial"/>
          <w:sz w:val="20"/>
          <w:szCs w:val="20"/>
        </w:rPr>
      </w:pPr>
      <w:r w:rsidRPr="002C7D3B">
        <w:rPr>
          <w:rFonts w:ascii="Arial" w:hAnsi="Arial" w:cs="Arial"/>
        </w:rPr>
        <w:t>Possible enhancements for neighbour cell measurements in connected mode for eMTC</w:t>
      </w:r>
      <w:r w:rsidR="00BA3774">
        <w:rPr>
          <w:rFonts w:ascii="Arial" w:hAnsi="Arial" w:cs="Arial"/>
        </w:rPr>
        <w:t>-based NTN</w:t>
      </w:r>
      <w:r w:rsidRPr="002C7D3B">
        <w:rPr>
          <w:rFonts w:ascii="Arial" w:hAnsi="Arial" w:cs="Arial"/>
        </w:rPr>
        <w:t>.</w:t>
      </w:r>
    </w:p>
    <w:p w14:paraId="42CD20F6" w14:textId="425F09E6" w:rsidR="002C7D3B" w:rsidRDefault="002C7D3B" w:rsidP="002C7D3B">
      <w:pPr>
        <w:pStyle w:val="ListParagraph"/>
        <w:numPr>
          <w:ilvl w:val="0"/>
          <w:numId w:val="17"/>
        </w:numPr>
        <w:ind w:leftChars="0"/>
        <w:rPr>
          <w:rFonts w:ascii="Arial" w:hAnsi="Arial" w:cs="Arial"/>
          <w:sz w:val="20"/>
          <w:szCs w:val="20"/>
        </w:rPr>
      </w:pPr>
      <w:r w:rsidRPr="002C7D3B">
        <w:rPr>
          <w:rFonts w:ascii="Arial" w:hAnsi="Arial" w:cs="Arial"/>
        </w:rPr>
        <w:t>Any further details on enhancements for neighbo</w:t>
      </w:r>
      <w:r>
        <w:rPr>
          <w:rFonts w:ascii="Arial" w:hAnsi="Arial" w:cs="Arial"/>
        </w:rPr>
        <w:t>u</w:t>
      </w:r>
      <w:r w:rsidRPr="002C7D3B">
        <w:rPr>
          <w:rFonts w:ascii="Arial" w:hAnsi="Arial" w:cs="Arial"/>
        </w:rPr>
        <w:t>r cell measurements in connected mode for NB-IoT</w:t>
      </w:r>
      <w:r w:rsidR="00BA3774">
        <w:rPr>
          <w:rFonts w:ascii="Arial" w:hAnsi="Arial" w:cs="Arial"/>
        </w:rPr>
        <w:t xml:space="preserve"> NTN</w:t>
      </w:r>
      <w:r>
        <w:rPr>
          <w:rFonts w:ascii="Arial" w:hAnsi="Arial" w:cs="Arial"/>
          <w:sz w:val="20"/>
          <w:szCs w:val="20"/>
        </w:rPr>
        <w:t>.</w:t>
      </w:r>
    </w:p>
    <w:p w14:paraId="7F2DB11C" w14:textId="2BE65DE4" w:rsidR="002C7D3B" w:rsidRDefault="002C7D3B" w:rsidP="002C7D3B">
      <w:pPr>
        <w:pStyle w:val="B1"/>
        <w:numPr>
          <w:ilvl w:val="0"/>
          <w:numId w:val="17"/>
        </w:numPr>
        <w:spacing w:line="240" w:lineRule="auto"/>
        <w:jc w:val="both"/>
        <w:rPr>
          <w:rFonts w:ascii="Arial" w:hAnsi="Arial" w:cs="Arial"/>
          <w:lang w:eastAsia="ja-JP"/>
        </w:rPr>
      </w:pPr>
      <w:r w:rsidRPr="002C7D3B">
        <w:rPr>
          <w:rFonts w:ascii="Arial" w:hAnsi="Arial" w:cs="Arial"/>
          <w:lang w:eastAsia="ja-JP"/>
        </w:rPr>
        <w:t>Further remaining details on CHO enhancements for eMTC-based NTN.</w:t>
      </w:r>
    </w:p>
    <w:p w14:paraId="2566821D" w14:textId="03ED6B76" w:rsidR="00F9174B" w:rsidRPr="002C7D3B" w:rsidRDefault="00827744">
      <w:pPr>
        <w:rPr>
          <w:rFonts w:ascii="Arial" w:hAnsi="Arial" w:cs="Arial"/>
          <w:iCs/>
          <w:lang w:eastAsia="ja-JP"/>
        </w:rPr>
      </w:pPr>
      <w:r w:rsidRPr="002C7D3B">
        <w:rPr>
          <w:rFonts w:ascii="Arial" w:hAnsi="Arial" w:cs="Arial"/>
          <w:iCs/>
          <w:lang w:eastAsia="ja-JP"/>
        </w:rPr>
        <w:t>Objective 3 (</w:t>
      </w:r>
      <w:r w:rsidR="002C7D3B" w:rsidRPr="002C7D3B">
        <w:rPr>
          <w:rFonts w:ascii="Arial" w:hAnsi="Arial" w:cs="Arial"/>
          <w:iCs/>
          <w:lang w:eastAsia="ja-JP"/>
        </w:rPr>
        <w:t>F</w:t>
      </w:r>
      <w:r w:rsidRPr="002C7D3B">
        <w:rPr>
          <w:rFonts w:ascii="Arial" w:hAnsi="Arial" w:cs="Arial"/>
          <w:iCs/>
          <w:lang w:eastAsia="ja-JP"/>
        </w:rPr>
        <w:t xml:space="preserve">urther enhancement to discontinuous coverage): </w:t>
      </w:r>
    </w:p>
    <w:p w14:paraId="2CC77565" w14:textId="6C8DC436" w:rsidR="002C7D3B" w:rsidRDefault="002C7D3B" w:rsidP="002C7D3B">
      <w:pPr>
        <w:pStyle w:val="B1"/>
        <w:numPr>
          <w:ilvl w:val="0"/>
          <w:numId w:val="17"/>
        </w:numPr>
        <w:rPr>
          <w:rFonts w:ascii="Arial" w:hAnsi="Arial" w:cs="Arial"/>
          <w:lang w:eastAsia="ja-JP"/>
        </w:rPr>
      </w:pPr>
      <w:r>
        <w:rPr>
          <w:rFonts w:ascii="Arial" w:hAnsi="Arial" w:cs="Arial"/>
          <w:lang w:eastAsia="ja-JP"/>
        </w:rPr>
        <w:t>RAN2 aspects on possible enhancements in discontinuous coverage, considering SA2 Study Report.</w:t>
      </w:r>
    </w:p>
    <w:p w14:paraId="0CE0E6C8" w14:textId="77777777" w:rsidR="002C7D3B" w:rsidRDefault="002C7D3B">
      <w:pPr>
        <w:rPr>
          <w:lang w:eastAsia="ja-JP"/>
        </w:rPr>
      </w:pPr>
    </w:p>
    <w:p w14:paraId="689A6AE0" w14:textId="77777777" w:rsidR="00F9174B" w:rsidRDefault="00F9174B">
      <w:pPr>
        <w:rPr>
          <w:lang w:eastAsia="ja-JP"/>
        </w:rPr>
      </w:pPr>
    </w:p>
    <w:p w14:paraId="0702F323" w14:textId="77777777" w:rsidR="00F9174B" w:rsidRPr="0056766A" w:rsidRDefault="00827744">
      <w:pPr>
        <w:pStyle w:val="Heading2"/>
        <w:keepNext w:val="0"/>
        <w:rPr>
          <w:rFonts w:eastAsia="SimSun"/>
          <w:lang w:eastAsia="zh-CN"/>
        </w:rPr>
      </w:pPr>
      <w:r w:rsidRPr="0056766A">
        <w:rPr>
          <w:lang w:eastAsia="ja-JP"/>
        </w:rPr>
        <w:t>2.2</w:t>
      </w:r>
      <w:r w:rsidRPr="0056766A">
        <w:rPr>
          <w:lang w:eastAsia="ja-JP"/>
        </w:rPr>
        <w:tab/>
      </w:r>
      <w:r w:rsidRPr="0056766A">
        <w:rPr>
          <w:rFonts w:hint="eastAsia"/>
          <w:lang w:eastAsia="ja-JP"/>
        </w:rPr>
        <w:t>RAN</w:t>
      </w:r>
      <w:r w:rsidRPr="0056766A">
        <w:rPr>
          <w:rFonts w:eastAsia="SimSun" w:hint="eastAsia"/>
          <w:lang w:val="en-US" w:eastAsia="zh-CN"/>
        </w:rPr>
        <w:t>3</w:t>
      </w:r>
    </w:p>
    <w:p w14:paraId="17363E70" w14:textId="77777777" w:rsidR="00F9174B" w:rsidRPr="0056766A" w:rsidRDefault="00827744">
      <w:pPr>
        <w:pStyle w:val="Heading4"/>
        <w:keepNext w:val="0"/>
        <w:rPr>
          <w:lang w:eastAsia="ja-JP"/>
        </w:rPr>
      </w:pPr>
      <w:r w:rsidRPr="0056766A">
        <w:rPr>
          <w:lang w:eastAsia="ja-JP"/>
        </w:rPr>
        <w:t>2.3.1</w:t>
      </w:r>
      <w:r w:rsidRPr="0056766A">
        <w:rPr>
          <w:lang w:eastAsia="ja-JP"/>
        </w:rPr>
        <w:tab/>
        <w:t>Agreements</w:t>
      </w:r>
    </w:p>
    <w:p w14:paraId="407F7429" w14:textId="77777777" w:rsidR="0056766A" w:rsidRPr="0056766A" w:rsidRDefault="0056766A" w:rsidP="0056766A">
      <w:pPr>
        <w:outlineLvl w:val="5"/>
        <w:rPr>
          <w:rFonts w:ascii="Arial" w:hAnsi="Arial" w:cs="Arial"/>
          <w:b/>
          <w:lang w:eastAsia="en-US"/>
        </w:rPr>
      </w:pPr>
      <w:r w:rsidRPr="0056766A">
        <w:rPr>
          <w:rFonts w:ascii="Arial" w:hAnsi="Arial" w:cs="Arial"/>
          <w:b/>
          <w:lang w:eastAsia="en-US"/>
        </w:rPr>
        <w:t>RAN</w:t>
      </w:r>
      <w:r w:rsidRPr="0056766A">
        <w:rPr>
          <w:rFonts w:ascii="Arial" w:eastAsia="SimSun" w:hAnsi="Arial" w:cs="Arial"/>
          <w:b/>
          <w:lang w:val="en-US" w:eastAsia="zh-CN"/>
        </w:rPr>
        <w:t>3</w:t>
      </w:r>
      <w:r w:rsidRPr="0056766A">
        <w:rPr>
          <w:rFonts w:ascii="Arial" w:hAnsi="Arial" w:cs="Arial"/>
          <w:b/>
          <w:lang w:eastAsia="en-US"/>
        </w:rPr>
        <w:t>#11</w:t>
      </w:r>
      <w:r w:rsidRPr="0056766A">
        <w:rPr>
          <w:rFonts w:ascii="Arial" w:eastAsia="SimSun" w:hAnsi="Arial" w:cs="Arial"/>
          <w:b/>
          <w:lang w:val="en-US" w:eastAsia="zh-CN"/>
        </w:rPr>
        <w:t>8</w:t>
      </w:r>
      <w:r w:rsidRPr="0056766A">
        <w:rPr>
          <w:rFonts w:ascii="Arial" w:hAnsi="Arial" w:cs="Arial"/>
          <w:b/>
          <w:lang w:eastAsia="en-US"/>
        </w:rPr>
        <w:t>, November 1</w:t>
      </w:r>
      <w:r w:rsidRPr="0056766A">
        <w:rPr>
          <w:rFonts w:ascii="Arial" w:eastAsia="SimSun" w:hAnsi="Arial" w:cs="Arial"/>
          <w:b/>
          <w:lang w:val="en-US" w:eastAsia="zh-CN"/>
        </w:rPr>
        <w:t>4</w:t>
      </w:r>
      <w:r w:rsidRPr="0056766A">
        <w:rPr>
          <w:rFonts w:ascii="Arial" w:hAnsi="Arial" w:cs="Arial"/>
          <w:b/>
          <w:lang w:eastAsia="en-US"/>
        </w:rPr>
        <w:t>th – 18th, 2022, Toulouse</w:t>
      </w:r>
    </w:p>
    <w:p w14:paraId="74980FC6" w14:textId="77777777" w:rsidR="0056766A" w:rsidRPr="0056766A" w:rsidRDefault="0056766A" w:rsidP="0056766A">
      <w:pPr>
        <w:rPr>
          <w:lang w:eastAsia="ja-JP"/>
        </w:rPr>
      </w:pPr>
      <w:r w:rsidRPr="0056766A">
        <w:rPr>
          <w:rFonts w:ascii="Arial" w:hAnsi="Arial" w:cs="Arial"/>
          <w:b/>
          <w:u w:val="single"/>
          <w:lang w:eastAsia="ja-JP"/>
        </w:rPr>
        <w:t>Agreements on “18.2 Support discontinuous coverage”</w:t>
      </w:r>
    </w:p>
    <w:p w14:paraId="08A218B1" w14:textId="77777777" w:rsidR="0056766A" w:rsidRPr="0056766A" w:rsidRDefault="0056766A" w:rsidP="0056766A">
      <w:pPr>
        <w:pStyle w:val="Style2"/>
        <w:numPr>
          <w:ilvl w:val="0"/>
          <w:numId w:val="41"/>
        </w:numPr>
        <w:spacing w:beforeLines="50" w:before="120" w:beforeAutospacing="0" w:afterLines="50" w:after="120"/>
        <w:rPr>
          <w:rFonts w:ascii="Arial" w:eastAsia="Times New Roman" w:hAnsi="Arial" w:cs="Arial"/>
          <w:kern w:val="2"/>
          <w:sz w:val="21"/>
          <w:szCs w:val="22"/>
          <w:lang w:eastAsia="ja-JP"/>
        </w:rPr>
      </w:pPr>
      <w:r w:rsidRPr="0056766A">
        <w:rPr>
          <w:rFonts w:ascii="Arial" w:eastAsia="Times New Roman" w:hAnsi="Arial" w:cs="Arial"/>
          <w:kern w:val="2"/>
          <w:sz w:val="21"/>
          <w:szCs w:val="22"/>
          <w:lang w:eastAsia="ja-JP"/>
        </w:rPr>
        <w:t>The new cause value “Release due to discontinuous coverage” is applicable for the UE Context Release Request procedure.</w:t>
      </w:r>
    </w:p>
    <w:p w14:paraId="4D99F838" w14:textId="77777777" w:rsidR="0056766A" w:rsidRPr="0056766A" w:rsidRDefault="0056766A" w:rsidP="0056766A">
      <w:pPr>
        <w:pStyle w:val="ListParagraph"/>
        <w:numPr>
          <w:ilvl w:val="0"/>
          <w:numId w:val="41"/>
        </w:numPr>
        <w:spacing w:line="256" w:lineRule="auto"/>
        <w:ind w:leftChars="0"/>
        <w:rPr>
          <w:rFonts w:ascii="Arial" w:hAnsi="Arial" w:cs="Arial"/>
          <w:sz w:val="20"/>
          <w:szCs w:val="20"/>
        </w:rPr>
      </w:pPr>
      <w:r w:rsidRPr="0056766A">
        <w:rPr>
          <w:rFonts w:ascii="Arial" w:hAnsi="Arial" w:cs="Arial"/>
        </w:rPr>
        <w:t>Add the stage 2 description of eNB behavior when eNB detects the UE is out of coverage.</w:t>
      </w:r>
    </w:p>
    <w:p w14:paraId="26D465D8" w14:textId="4682607A" w:rsidR="0056766A" w:rsidRDefault="0056766A" w:rsidP="0056766A">
      <w:pPr>
        <w:rPr>
          <w:rFonts w:eastAsia="Yu Mincho"/>
          <w:lang w:val="en-US" w:eastAsia="ja-JP"/>
        </w:rPr>
      </w:pPr>
    </w:p>
    <w:p w14:paraId="50725EAA" w14:textId="77777777" w:rsidR="0056766A" w:rsidRPr="0056766A" w:rsidRDefault="0056766A" w:rsidP="0056766A">
      <w:pPr>
        <w:outlineLvl w:val="5"/>
        <w:rPr>
          <w:rFonts w:ascii="Arial" w:hAnsi="Arial" w:cs="Arial"/>
          <w:b/>
          <w:lang w:eastAsia="en-US"/>
        </w:rPr>
      </w:pPr>
      <w:r w:rsidRPr="0056766A">
        <w:rPr>
          <w:rFonts w:ascii="Arial" w:hAnsi="Arial" w:cs="Arial"/>
          <w:b/>
          <w:lang w:eastAsia="en-US"/>
        </w:rPr>
        <w:t>RAN</w:t>
      </w:r>
      <w:r w:rsidRPr="0056766A">
        <w:rPr>
          <w:rFonts w:ascii="Arial" w:eastAsia="SimSun" w:hAnsi="Arial" w:cs="Arial"/>
          <w:b/>
          <w:lang w:val="en-US" w:eastAsia="zh-CN"/>
        </w:rPr>
        <w:t>3</w:t>
      </w:r>
      <w:r w:rsidRPr="0056766A">
        <w:rPr>
          <w:rFonts w:ascii="Arial" w:hAnsi="Arial" w:cs="Arial"/>
          <w:b/>
          <w:lang w:eastAsia="en-US"/>
        </w:rPr>
        <w:t>#11</w:t>
      </w:r>
      <w:r w:rsidRPr="0056766A">
        <w:rPr>
          <w:rFonts w:ascii="Arial" w:eastAsia="SimSun" w:hAnsi="Arial" w:cs="Arial"/>
          <w:b/>
          <w:lang w:val="en-US" w:eastAsia="zh-CN"/>
        </w:rPr>
        <w:t>7bis</w:t>
      </w:r>
      <w:r w:rsidRPr="0056766A">
        <w:rPr>
          <w:rFonts w:ascii="Arial" w:hAnsi="Arial" w:cs="Arial"/>
          <w:b/>
          <w:lang w:eastAsia="en-US"/>
        </w:rPr>
        <w:t>-e, October 1</w:t>
      </w:r>
      <w:r w:rsidRPr="0056766A">
        <w:rPr>
          <w:rFonts w:ascii="Arial" w:eastAsia="SimSun" w:hAnsi="Arial" w:cs="Arial"/>
          <w:b/>
          <w:lang w:val="en-US" w:eastAsia="zh-CN"/>
        </w:rPr>
        <w:t>0</w:t>
      </w:r>
      <w:r w:rsidRPr="0056766A">
        <w:rPr>
          <w:rFonts w:ascii="Arial" w:hAnsi="Arial" w:cs="Arial"/>
          <w:b/>
          <w:lang w:eastAsia="en-US"/>
        </w:rPr>
        <w:t>th – 18th, 2022, e-meeting</w:t>
      </w:r>
    </w:p>
    <w:p w14:paraId="4EA66DFB" w14:textId="77777777" w:rsidR="0056766A" w:rsidRPr="0056766A" w:rsidRDefault="0056766A" w:rsidP="0056766A">
      <w:pPr>
        <w:rPr>
          <w:lang w:eastAsia="ja-JP"/>
        </w:rPr>
      </w:pPr>
      <w:r w:rsidRPr="0056766A">
        <w:rPr>
          <w:rFonts w:ascii="Arial" w:hAnsi="Arial" w:cs="Arial"/>
          <w:b/>
          <w:u w:val="single"/>
          <w:lang w:eastAsia="ja-JP"/>
        </w:rPr>
        <w:t>Agreements on “18.2 Support discontinuous coverage”</w:t>
      </w:r>
    </w:p>
    <w:p w14:paraId="61D6284C" w14:textId="77777777" w:rsidR="0056766A" w:rsidRPr="0056766A" w:rsidRDefault="0056766A" w:rsidP="0056766A">
      <w:pPr>
        <w:pStyle w:val="ListParagraph"/>
        <w:numPr>
          <w:ilvl w:val="0"/>
          <w:numId w:val="41"/>
        </w:numPr>
        <w:spacing w:line="256" w:lineRule="auto"/>
        <w:ind w:leftChars="0"/>
        <w:rPr>
          <w:rFonts w:ascii="Arial" w:hAnsi="Arial" w:cs="Arial"/>
          <w:sz w:val="20"/>
          <w:szCs w:val="20"/>
        </w:rPr>
      </w:pPr>
      <w:r w:rsidRPr="0056766A">
        <w:rPr>
          <w:rFonts w:ascii="Arial" w:eastAsia="SimSun" w:hAnsi="Arial" w:cs="Arial"/>
          <w:sz w:val="20"/>
          <w:szCs w:val="20"/>
          <w:lang w:eastAsia="zh-CN"/>
        </w:rPr>
        <w:t>No agreement has been reached</w:t>
      </w:r>
    </w:p>
    <w:p w14:paraId="12BBF9FF" w14:textId="77777777" w:rsidR="0056766A" w:rsidRPr="0056766A" w:rsidRDefault="0056766A" w:rsidP="0056766A">
      <w:pPr>
        <w:rPr>
          <w:rFonts w:eastAsia="Yu Mincho"/>
          <w:lang w:val="en-US" w:eastAsia="ja-JP"/>
        </w:rPr>
      </w:pPr>
    </w:p>
    <w:p w14:paraId="3D53DFB8" w14:textId="77777777" w:rsidR="0056766A" w:rsidRPr="0056766A" w:rsidRDefault="0056766A" w:rsidP="0056766A">
      <w:pPr>
        <w:pStyle w:val="Heading4"/>
        <w:keepNext w:val="0"/>
        <w:rPr>
          <w:lang w:eastAsia="ja-JP"/>
        </w:rPr>
      </w:pPr>
      <w:r w:rsidRPr="0056766A">
        <w:rPr>
          <w:lang w:eastAsia="ja-JP"/>
        </w:rPr>
        <w:t>2.3.2</w:t>
      </w:r>
      <w:r w:rsidRPr="0056766A">
        <w:rPr>
          <w:lang w:eastAsia="ja-JP"/>
        </w:rPr>
        <w:tab/>
        <w:t>Remaining Open issues</w:t>
      </w:r>
    </w:p>
    <w:p w14:paraId="55BA5DEC" w14:textId="77777777" w:rsidR="0056766A" w:rsidRPr="0056766A" w:rsidRDefault="0056766A" w:rsidP="0056766A">
      <w:pPr>
        <w:pStyle w:val="ListParagraph"/>
        <w:numPr>
          <w:ilvl w:val="0"/>
          <w:numId w:val="42"/>
        </w:numPr>
        <w:tabs>
          <w:tab w:val="left" w:pos="567"/>
        </w:tabs>
        <w:snapToGrid w:val="0"/>
        <w:spacing w:line="256" w:lineRule="auto"/>
        <w:ind w:leftChars="0"/>
        <w:rPr>
          <w:rFonts w:ascii="Arial" w:hAnsi="Arial" w:cs="Arial"/>
          <w:sz w:val="20"/>
          <w:szCs w:val="20"/>
        </w:rPr>
      </w:pPr>
      <w:r w:rsidRPr="0056766A">
        <w:rPr>
          <w:rFonts w:ascii="Arial" w:hAnsi="Arial" w:cs="Arial"/>
          <w:sz w:val="20"/>
          <w:szCs w:val="20"/>
        </w:rPr>
        <w:t>Align with the progress of NR NTN, if any.</w:t>
      </w:r>
    </w:p>
    <w:p w14:paraId="69B21CE5" w14:textId="77777777" w:rsidR="0056766A" w:rsidRPr="0056766A" w:rsidRDefault="0056766A" w:rsidP="0056766A">
      <w:pPr>
        <w:pStyle w:val="ListParagraph"/>
        <w:numPr>
          <w:ilvl w:val="0"/>
          <w:numId w:val="42"/>
        </w:numPr>
        <w:tabs>
          <w:tab w:val="left" w:pos="567"/>
        </w:tabs>
        <w:snapToGrid w:val="0"/>
        <w:spacing w:line="256" w:lineRule="auto"/>
        <w:ind w:leftChars="0"/>
        <w:rPr>
          <w:rFonts w:ascii="Arial" w:hAnsi="Arial" w:cs="Arial"/>
          <w:sz w:val="20"/>
          <w:szCs w:val="20"/>
        </w:rPr>
      </w:pPr>
      <w:r w:rsidRPr="0056766A">
        <w:rPr>
          <w:rFonts w:ascii="Arial" w:eastAsia="SimSun" w:hAnsi="Arial" w:cs="Arial"/>
          <w:sz w:val="20"/>
          <w:szCs w:val="20"/>
          <w:lang w:eastAsia="zh-CN"/>
        </w:rPr>
        <w:t>The potential issues of discontinuous coverage captured by the final TR from SA2.</w:t>
      </w:r>
    </w:p>
    <w:p w14:paraId="710B6830" w14:textId="77777777" w:rsidR="0056766A" w:rsidRDefault="0056766A" w:rsidP="0056766A">
      <w:pPr>
        <w:tabs>
          <w:tab w:val="left" w:pos="567"/>
        </w:tabs>
        <w:snapToGrid w:val="0"/>
        <w:rPr>
          <w:rFonts w:ascii="Arial" w:hAnsi="Arial" w:cs="Arial"/>
          <w:lang w:val="en-US"/>
        </w:rPr>
      </w:pPr>
    </w:p>
    <w:p w14:paraId="77260E06" w14:textId="77777777" w:rsidR="00F9174B" w:rsidRDefault="00F9174B">
      <w:pPr>
        <w:tabs>
          <w:tab w:val="left" w:pos="567"/>
        </w:tabs>
        <w:snapToGrid w:val="0"/>
        <w:rPr>
          <w:rFonts w:ascii="Arial" w:hAnsi="Arial" w:cs="Arial"/>
          <w:lang w:val="en-US"/>
        </w:rPr>
      </w:pPr>
    </w:p>
    <w:p w14:paraId="09F5036E" w14:textId="77777777" w:rsidR="00F9174B" w:rsidRDefault="00F9174B">
      <w:pPr>
        <w:tabs>
          <w:tab w:val="left" w:pos="567"/>
        </w:tabs>
        <w:snapToGrid w:val="0"/>
        <w:rPr>
          <w:rFonts w:ascii="Arial" w:hAnsi="Arial" w:cs="Arial"/>
          <w:lang w:val="en-US"/>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A7ED16A" w14:textId="77777777" w:rsidR="00F9174B" w:rsidRDefault="00827744">
      <w:pPr>
        <w:pStyle w:val="Heading4"/>
        <w:keepNext w:val="0"/>
        <w:rPr>
          <w:lang w:eastAsia="ja-JP"/>
        </w:rPr>
      </w:pPr>
      <w:r>
        <w:rPr>
          <w:lang w:eastAsia="ja-JP"/>
        </w:rPr>
        <w:t>2.4.1</w:t>
      </w:r>
      <w:r>
        <w:rPr>
          <w:lang w:eastAsia="ja-JP"/>
        </w:rPr>
        <w:tab/>
        <w:t xml:space="preserve">Agreements: </w:t>
      </w:r>
    </w:p>
    <w:p w14:paraId="2E349677" w14:textId="77777777" w:rsidR="00F9174B" w:rsidRDefault="00827744">
      <w:pPr>
        <w:rPr>
          <w:lang w:eastAsia="ja-JP"/>
        </w:rPr>
      </w:pPr>
      <w:r>
        <w:rPr>
          <w:lang w:eastAsia="ja-JP"/>
        </w:rPr>
        <w:t>The work has not started yet.</w:t>
      </w:r>
    </w:p>
    <w:p w14:paraId="327D2D98" w14:textId="77777777" w:rsidR="00F9174B" w:rsidRDefault="00F9174B">
      <w:pPr>
        <w:rPr>
          <w:lang w:eastAsia="ja-JP"/>
        </w:rPr>
      </w:pPr>
    </w:p>
    <w:p w14:paraId="074AFC4F" w14:textId="77777777" w:rsidR="00F9174B" w:rsidRDefault="00827744">
      <w:pPr>
        <w:pStyle w:val="Heading4"/>
        <w:keepNext w:val="0"/>
        <w:rPr>
          <w:lang w:eastAsia="ja-JP"/>
        </w:rPr>
      </w:pPr>
      <w:r>
        <w:rPr>
          <w:lang w:eastAsia="ja-JP"/>
        </w:rPr>
        <w:t>2.4.2</w:t>
      </w:r>
      <w:r>
        <w:rPr>
          <w:lang w:eastAsia="ja-JP"/>
        </w:rPr>
        <w:tab/>
        <w:t xml:space="preserve">Remaining Open issues: </w:t>
      </w:r>
    </w:p>
    <w:p w14:paraId="62BE1F3D" w14:textId="77777777" w:rsidR="00F9174B" w:rsidRDefault="00827744">
      <w:pPr>
        <w:rPr>
          <w:i/>
        </w:rPr>
      </w:pPr>
      <w:r>
        <w:rPr>
          <w:i/>
        </w:rPr>
        <w:t>NOTE: The need for RAN4 Core requirements for this objective will be identified after the conclusion on the need for improvements</w:t>
      </w:r>
    </w:p>
    <w:p w14:paraId="32C15E5F" w14:textId="77777777" w:rsidR="00F9174B" w:rsidRDefault="00F9174B">
      <w:pPr>
        <w:rPr>
          <w:rFonts w:ascii="Arial" w:hAnsi="Arial" w:cs="Arial"/>
          <w:iCs/>
          <w:color w:val="FF0000"/>
          <w:lang w:val="en-US"/>
        </w:rPr>
      </w:pPr>
    </w:p>
    <w:p w14:paraId="3F4E3BFA" w14:textId="77777777" w:rsidR="00F9174B" w:rsidRDefault="00827744">
      <w:pPr>
        <w:numPr>
          <w:ilvl w:val="0"/>
          <w:numId w:val="20"/>
        </w:numPr>
        <w:spacing w:after="0"/>
        <w:ind w:left="360"/>
        <w:rPr>
          <w:lang w:val="en-US" w:eastAsia="en-US"/>
        </w:rPr>
      </w:pPr>
      <w:bookmarkStart w:id="1" w:name="_Hlk86238162"/>
      <w:r>
        <w:rPr>
          <w:lang w:val="en-US" w:eastAsia="en-US"/>
        </w:rPr>
        <w:t>Specify UE RRM performance requirements to support the agreed mobility enhancements for NB-IoT/eMTC [RAN4]</w:t>
      </w:r>
    </w:p>
    <w:p w14:paraId="375FBB04" w14:textId="77777777" w:rsidR="00F9174B" w:rsidRDefault="00F9174B">
      <w:pPr>
        <w:spacing w:after="0"/>
        <w:rPr>
          <w:lang w:val="en-US" w:eastAsia="en-US"/>
        </w:rPr>
      </w:pPr>
    </w:p>
    <w:p w14:paraId="6E965015" w14:textId="77777777" w:rsidR="00F9174B" w:rsidRDefault="00827744">
      <w:pPr>
        <w:numPr>
          <w:ilvl w:val="0"/>
          <w:numId w:val="20"/>
        </w:numPr>
        <w:spacing w:after="0"/>
        <w:ind w:left="360"/>
        <w:rPr>
          <w:lang w:val="en-US" w:eastAsia="en-US"/>
        </w:rPr>
      </w:pPr>
      <w:r>
        <w:rPr>
          <w:lang w:val="en-US" w:eastAsia="en-US"/>
        </w:rPr>
        <w:t>Specify UE and Base Station demodulation requirements for operation with disabled HARQ feedback for NB-IoT/eMTC [RAN4]</w:t>
      </w:r>
    </w:p>
    <w:p w14:paraId="178B2859" w14:textId="77777777" w:rsidR="00F9174B" w:rsidRDefault="00F9174B">
      <w:pPr>
        <w:spacing w:after="0"/>
        <w:rPr>
          <w:lang w:val="en-US" w:eastAsia="en-US"/>
        </w:rPr>
      </w:pPr>
    </w:p>
    <w:p w14:paraId="50979567" w14:textId="77777777" w:rsidR="00F9174B" w:rsidRDefault="00827744">
      <w:pPr>
        <w:spacing w:after="0"/>
        <w:rPr>
          <w:i/>
          <w:lang w:val="en-US" w:eastAsia="en-US"/>
        </w:rPr>
      </w:pPr>
      <w:r>
        <w:rPr>
          <w:i/>
          <w:lang w:val="en-US" w:eastAsia="en-US"/>
        </w:rPr>
        <w:t>NOTE: The need for Performance requirements for improved GNSS operations will be established once the need for specification work has been decided.</w:t>
      </w:r>
    </w:p>
    <w:bookmarkEnd w:id="1"/>
    <w:p w14:paraId="624B7DA9" w14:textId="77777777" w:rsidR="00F9174B" w:rsidRDefault="00F9174B">
      <w:pPr>
        <w:rPr>
          <w:rFonts w:ascii="Arial" w:hAnsi="Arial" w:cs="Arial"/>
          <w:iCs/>
          <w:color w:val="FF0000"/>
          <w:lang w:val="en-US"/>
        </w:rPr>
      </w:pPr>
    </w:p>
    <w:p w14:paraId="0520B628" w14:textId="77777777" w:rsidR="00F9174B" w:rsidRDefault="00F9174B">
      <w:pPr>
        <w:rPr>
          <w:rFonts w:ascii="Arial" w:hAnsi="Arial" w:cs="Arial"/>
          <w:iCs/>
          <w:color w:val="FF0000"/>
          <w:lang w:val="en-US"/>
        </w:rPr>
      </w:pPr>
    </w:p>
    <w:p w14:paraId="52F8D660" w14:textId="77777777" w:rsidR="00F9174B" w:rsidRDefault="00827744">
      <w:pPr>
        <w:pStyle w:val="Heading2"/>
        <w:rPr>
          <w:lang w:eastAsia="ja-JP"/>
        </w:rPr>
      </w:pPr>
      <w:r>
        <w:rPr>
          <w:lang w:eastAsia="ja-JP"/>
        </w:rPr>
        <w:t>2.5</w:t>
      </w:r>
      <w:r>
        <w:rPr>
          <w:lang w:eastAsia="ja-JP"/>
        </w:rPr>
        <w:tab/>
      </w:r>
      <w:r>
        <w:rPr>
          <w:rFonts w:hint="eastAsia"/>
          <w:lang w:eastAsia="ja-JP"/>
        </w:rPr>
        <w:t>RAN</w:t>
      </w:r>
      <w:r>
        <w:rPr>
          <w:lang w:eastAsia="ja-JP"/>
        </w:rPr>
        <w:t>5</w:t>
      </w:r>
    </w:p>
    <w:p w14:paraId="2F450368" w14:textId="77777777" w:rsidR="00F9174B" w:rsidRDefault="00827744">
      <w:pPr>
        <w:pStyle w:val="Heading4"/>
        <w:rPr>
          <w:lang w:eastAsia="ja-JP"/>
        </w:rPr>
      </w:pPr>
      <w:r>
        <w:rPr>
          <w:lang w:eastAsia="ja-JP"/>
        </w:rPr>
        <w:t>2.5.1</w:t>
      </w:r>
      <w:r>
        <w:rPr>
          <w:lang w:eastAsia="ja-JP"/>
        </w:rPr>
        <w:tab/>
        <w:t>Agreements</w:t>
      </w:r>
    </w:p>
    <w:p w14:paraId="05A08128" w14:textId="77777777" w:rsidR="00F9174B" w:rsidRDefault="00827744">
      <w:pPr>
        <w:pStyle w:val="Heading4"/>
        <w:rPr>
          <w:lang w:eastAsia="ja-JP"/>
        </w:rPr>
      </w:pPr>
      <w:r>
        <w:rPr>
          <w:lang w:eastAsia="ja-JP"/>
        </w:rPr>
        <w:t>2.5.2</w:t>
      </w:r>
      <w:r>
        <w:rPr>
          <w:lang w:eastAsia="ja-JP"/>
        </w:rPr>
        <w:tab/>
        <w:t>Remaining Open issues</w:t>
      </w:r>
    </w:p>
    <w:p w14:paraId="79877CDF" w14:textId="77777777" w:rsidR="00F9174B" w:rsidRDefault="00827744">
      <w:pPr>
        <w:pStyle w:val="Heading4"/>
        <w:rPr>
          <w:lang w:eastAsia="ja-JP"/>
        </w:rPr>
      </w:pPr>
      <w:r>
        <w:rPr>
          <w:lang w:eastAsia="ja-JP"/>
        </w:rPr>
        <w:t>2.5.3</w:t>
      </w:r>
      <w:r>
        <w:rPr>
          <w:lang w:eastAsia="ja-JP"/>
        </w:rPr>
        <w:tab/>
        <w:t>Remaining Open issues with cross-WG dependencies</w:t>
      </w:r>
    </w:p>
    <w:p w14:paraId="5DCE70B2" w14:textId="77777777" w:rsidR="00F9174B" w:rsidRDefault="00F9174B">
      <w:pPr>
        <w:rPr>
          <w:lang w:eastAsia="ja-JP"/>
        </w:rPr>
      </w:pPr>
    </w:p>
    <w:p w14:paraId="53C635E7" w14:textId="77777777" w:rsidR="00F9174B" w:rsidRDefault="00827744">
      <w:pPr>
        <w:pStyle w:val="Heading2"/>
        <w:rPr>
          <w:lang w:eastAsia="ja-JP"/>
        </w:rPr>
      </w:pPr>
      <w:r>
        <w:rPr>
          <w:lang w:eastAsia="ja-JP"/>
        </w:rPr>
        <w:t>2.6</w:t>
      </w:r>
      <w:r>
        <w:rPr>
          <w:lang w:eastAsia="ja-JP"/>
        </w:rPr>
        <w:tab/>
      </w:r>
      <w:r>
        <w:rPr>
          <w:rFonts w:hint="eastAsia"/>
          <w:lang w:eastAsia="ja-JP"/>
        </w:rPr>
        <w:t>RAN6</w:t>
      </w:r>
    </w:p>
    <w:p w14:paraId="760EC591" w14:textId="77777777" w:rsidR="00F9174B" w:rsidRDefault="00827744">
      <w:pPr>
        <w:pStyle w:val="Heading4"/>
        <w:rPr>
          <w:lang w:eastAsia="ja-JP"/>
        </w:rPr>
      </w:pPr>
      <w:r>
        <w:rPr>
          <w:lang w:eastAsia="ja-JP"/>
        </w:rPr>
        <w:t>2.6.1</w:t>
      </w:r>
      <w:r>
        <w:rPr>
          <w:lang w:eastAsia="ja-JP"/>
        </w:rPr>
        <w:tab/>
        <w:t>Agreements</w:t>
      </w:r>
    </w:p>
    <w:p w14:paraId="2FBE4609" w14:textId="77777777" w:rsidR="00F9174B" w:rsidRDefault="00827744">
      <w:pPr>
        <w:pStyle w:val="Heading4"/>
        <w:rPr>
          <w:rFonts w:cs="Arial"/>
          <w:lang w:eastAsia="ja-JP"/>
        </w:rPr>
      </w:pPr>
      <w:r>
        <w:rPr>
          <w:lang w:eastAsia="ja-JP"/>
        </w:rPr>
        <w:t>2.6.2</w:t>
      </w:r>
      <w:r>
        <w:rPr>
          <w:lang w:eastAsia="ja-JP"/>
        </w:rPr>
        <w:tab/>
        <w:t>Remaining Open issues</w:t>
      </w:r>
    </w:p>
    <w:p w14:paraId="31919293" w14:textId="77777777" w:rsidR="00F9174B" w:rsidRDefault="00F9174B">
      <w:pPr>
        <w:rPr>
          <w:rFonts w:ascii="Arial" w:hAnsi="Arial" w:cs="Arial"/>
          <w:iCs/>
          <w:color w:val="FF0000"/>
          <w:lang w:val="en-US"/>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E2279D0" w14:textId="77777777" w:rsidR="00F9174B" w:rsidRDefault="00F9174B">
      <w:pPr>
        <w:overflowPunct/>
        <w:autoSpaceDE/>
        <w:autoSpaceDN/>
        <w:snapToGrid w:val="0"/>
        <w:spacing w:after="0"/>
        <w:rPr>
          <w:rFonts w:ascii="Arial" w:hAnsi="Arial" w:cs="Arial"/>
          <w:b/>
          <w:bCs/>
          <w:lang w:eastAsia="ja-JP"/>
        </w:rPr>
      </w:pPr>
    </w:p>
    <w:p w14:paraId="7BA7E51E" w14:textId="77777777" w:rsidR="00F9174B" w:rsidRPr="00837A32" w:rsidRDefault="00827744">
      <w:pPr>
        <w:pStyle w:val="Heading2"/>
        <w:rPr>
          <w:lang w:eastAsia="ja-JP"/>
        </w:rPr>
      </w:pPr>
      <w:r w:rsidRPr="00837A32">
        <w:rPr>
          <w:lang w:eastAsia="ja-JP"/>
        </w:rPr>
        <w:t>4.1</w:t>
      </w:r>
      <w:r w:rsidRPr="00837A32">
        <w:rPr>
          <w:lang w:eastAsia="ja-JP"/>
        </w:rPr>
        <w:tab/>
        <w:t>RAN1</w:t>
      </w:r>
    </w:p>
    <w:p w14:paraId="7051B9F2" w14:textId="7154A588" w:rsidR="00F9174B" w:rsidRDefault="00F9174B">
      <w:pPr>
        <w:tabs>
          <w:tab w:val="left" w:pos="567"/>
        </w:tabs>
        <w:overflowPunct/>
        <w:autoSpaceDE/>
        <w:autoSpaceDN/>
        <w:snapToGrid w:val="0"/>
        <w:spacing w:after="0"/>
        <w:rPr>
          <w:rFonts w:ascii="Arial" w:hAnsi="Arial" w:cs="Arial"/>
          <w:bCs/>
          <w:highlight w:val="yellow"/>
          <w:lang w:eastAsia="ja-JP"/>
        </w:rPr>
      </w:pPr>
    </w:p>
    <w:p w14:paraId="41EECEFA" w14:textId="6CDDB610" w:rsidR="0072080B" w:rsidRDefault="0072080B" w:rsidP="0072080B">
      <w:pPr>
        <w:tabs>
          <w:tab w:val="left" w:pos="567"/>
        </w:tabs>
        <w:snapToGrid w:val="0"/>
        <w:rPr>
          <w:rFonts w:ascii="Arial" w:hAnsi="Arial" w:cs="Arial"/>
          <w:b/>
          <w:bCs/>
          <w:highlight w:val="yellow"/>
        </w:rPr>
      </w:pPr>
      <w:r>
        <w:rPr>
          <w:rFonts w:ascii="Arial" w:hAnsi="Arial" w:cs="Arial"/>
          <w:b/>
          <w:lang w:eastAsia="en-US"/>
        </w:rPr>
        <w:t>RAN1#111, November 14th – 18th, 2022</w:t>
      </w:r>
    </w:p>
    <w:p w14:paraId="575F3C47" w14:textId="1D2B194A" w:rsidR="0072080B" w:rsidRDefault="0072080B">
      <w:pPr>
        <w:tabs>
          <w:tab w:val="left" w:pos="567"/>
        </w:tabs>
        <w:overflowPunct/>
        <w:autoSpaceDE/>
        <w:autoSpaceDN/>
        <w:snapToGrid w:val="0"/>
        <w:spacing w:after="0"/>
        <w:rPr>
          <w:rFonts w:ascii="Arial" w:hAnsi="Arial" w:cs="Arial"/>
          <w:bCs/>
          <w:highlight w:val="yellow"/>
          <w:lang w:eastAsia="ja-JP"/>
        </w:rPr>
      </w:pPr>
    </w:p>
    <w:p w14:paraId="7F742CE8" w14:textId="04627D16" w:rsidR="0072080B" w:rsidRPr="004604FD" w:rsidRDefault="0072080B" w:rsidP="004604FD">
      <w:pPr>
        <w:tabs>
          <w:tab w:val="left" w:pos="567"/>
        </w:tabs>
        <w:snapToGrid w:val="0"/>
        <w:rPr>
          <w:rFonts w:ascii="Arial" w:hAnsi="Arial" w:cs="Arial"/>
          <w:bCs/>
          <w:u w:val="single"/>
        </w:rPr>
      </w:pPr>
      <w:r>
        <w:rPr>
          <w:rFonts w:ascii="Arial" w:hAnsi="Arial" w:cs="Arial"/>
          <w:bCs/>
          <w:u w:val="single"/>
        </w:rPr>
        <w:t>Submitted TDocs to AI 9.11.3</w:t>
      </w:r>
    </w:p>
    <w:p w14:paraId="6DCB5B9B" w14:textId="78ECAA04" w:rsidR="00633BCA" w:rsidRDefault="00633BCA" w:rsidP="004604FD">
      <w:pPr>
        <w:pStyle w:val="ListParagraph"/>
        <w:numPr>
          <w:ilvl w:val="0"/>
          <w:numId w:val="35"/>
        </w:numPr>
        <w:tabs>
          <w:tab w:val="left" w:pos="567"/>
        </w:tabs>
        <w:snapToGrid w:val="0"/>
        <w:ind w:leftChars="0"/>
        <w:rPr>
          <w:rFonts w:ascii="Arial" w:hAnsi="Arial" w:cs="Arial"/>
          <w:bCs/>
        </w:rPr>
      </w:pPr>
      <w:r w:rsidRPr="00633BCA">
        <w:rPr>
          <w:rFonts w:ascii="Arial" w:hAnsi="Arial" w:cs="Arial"/>
          <w:bCs/>
        </w:rPr>
        <w:t>R1-2212555</w:t>
      </w:r>
      <w:r>
        <w:rPr>
          <w:rFonts w:ascii="Arial" w:hAnsi="Arial" w:cs="Arial"/>
          <w:bCs/>
        </w:rPr>
        <w:t xml:space="preserve">, </w:t>
      </w:r>
      <w:r w:rsidRPr="00633BCA">
        <w:rPr>
          <w:rFonts w:ascii="Arial" w:hAnsi="Arial" w:cs="Arial"/>
          <w:bCs/>
        </w:rPr>
        <w:t>FLS#2 on disabling of HARQ feedback for IoT NTN</w:t>
      </w:r>
      <w:r w:rsidRPr="00633BCA">
        <w:rPr>
          <w:rFonts w:ascii="Arial" w:hAnsi="Arial" w:cs="Arial"/>
          <w:bCs/>
        </w:rPr>
        <w:tab/>
        <w:t>Moderator (Lenovo)</w:t>
      </w:r>
    </w:p>
    <w:p w14:paraId="5AA7662A" w14:textId="5C88239E"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lastRenderedPageBreak/>
        <w:t>R1-2210874, Discussion on disabling of HARQ feedback for IoT NTN, Huawei, HiSilicon</w:t>
      </w:r>
    </w:p>
    <w:p w14:paraId="63074E5F"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R1-2210947, Considerations for Disablement of HARQ in IoT NTN, Lockheed Martin</w:t>
      </w:r>
    </w:p>
    <w:p w14:paraId="2A567425"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R1-2211095, Disabling of HARQ for IoT NTN, MediaTek Inc.</w:t>
      </w:r>
    </w:p>
    <w:p w14:paraId="51B27CEB"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R1-2211111, Discussion on disabling of HARQ feedback for IoT-NTN, ZTE</w:t>
      </w:r>
    </w:p>
    <w:p w14:paraId="476F162B"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R1-2211178, Discussion on remaining issues of disabling of HARQ feedback for IoT NTN, CATT</w:t>
      </w:r>
    </w:p>
    <w:p w14:paraId="0BB23E73"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R1-2211248, Discussion on disabling of HARQ feedback for IoT NTN, Spreadtrum Communications</w:t>
      </w:r>
    </w:p>
    <w:p w14:paraId="5012788D"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R1-2211344, Discussion on the HARQ operation for IoT NTN, xiaomi</w:t>
      </w:r>
    </w:p>
    <w:p w14:paraId="6FA78A98"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R1-2211462, Discussion on disabling of HARQ feedback for IoT NTN, OPPO</w:t>
      </w:r>
    </w:p>
    <w:p w14:paraId="097CCD1A"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R1-2211548, Disabling of HARQ feedback for NB-IoT/eMTC over NTN,</w:t>
      </w:r>
      <w:r w:rsidRPr="004604FD">
        <w:rPr>
          <w:rFonts w:ascii="Arial" w:hAnsi="Arial" w:cs="Arial"/>
          <w:bCs/>
        </w:rPr>
        <w:tab/>
        <w:t>Nokia, Nokia Shanghai Bell</w:t>
      </w:r>
    </w:p>
    <w:p w14:paraId="13D516DF"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R1-2211700, Discussion on disabling of HARQ feedback for IoT NTN, CMCC</w:t>
      </w:r>
    </w:p>
    <w:p w14:paraId="70DB13DE"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R1-2211734, Disabling of HARQ feedback in IoT-NTN, InterDigital, Inc.</w:t>
      </w:r>
    </w:p>
    <w:p w14:paraId="1F9627F5"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R1-2211756, On disabling HARQ feedback for IOT-NTN,</w:t>
      </w:r>
      <w:r w:rsidRPr="004604FD">
        <w:rPr>
          <w:rFonts w:ascii="Arial" w:hAnsi="Arial" w:cs="Arial"/>
          <w:bCs/>
        </w:rPr>
        <w:tab/>
        <w:t>Mavenir</w:t>
      </w:r>
    </w:p>
    <w:p w14:paraId="5E87A2AA"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R1-2211767, On disabling HARQ feedback for IoT NTN, Ericsson</w:t>
      </w:r>
    </w:p>
    <w:p w14:paraId="14784A99"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R1-2211830, On HARQ Feedback Disabling for IoT NTN, Apple</w:t>
      </w:r>
    </w:p>
    <w:p w14:paraId="65D28634"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R1-2211884, Disabling of HARQ feedback for IoT NTN, Lenovo</w:t>
      </w:r>
    </w:p>
    <w:p w14:paraId="587362B0"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R1-2212066, Disabling of HARQ feedback for IoT NTN, Samsung</w:t>
      </w:r>
    </w:p>
    <w:p w14:paraId="5D9DE60F"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R1-2212138, Disabling HARQ Feedback for IoT-NTN, Qualcomm Incorporated</w:t>
      </w:r>
    </w:p>
    <w:p w14:paraId="0D8FAB6A" w14:textId="77777777"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R1-2212367, Disabling of HARQ feedback for IoT NTN, NEC</w:t>
      </w:r>
    </w:p>
    <w:p w14:paraId="20A5AB23" w14:textId="15129172" w:rsidR="004604FD" w:rsidRPr="004604FD" w:rsidRDefault="004604FD" w:rsidP="004604FD">
      <w:pPr>
        <w:pStyle w:val="ListParagraph"/>
        <w:numPr>
          <w:ilvl w:val="0"/>
          <w:numId w:val="35"/>
        </w:numPr>
        <w:tabs>
          <w:tab w:val="left" w:pos="567"/>
        </w:tabs>
        <w:snapToGrid w:val="0"/>
        <w:ind w:leftChars="0"/>
        <w:rPr>
          <w:rFonts w:ascii="Arial" w:hAnsi="Arial" w:cs="Arial"/>
          <w:bCs/>
        </w:rPr>
      </w:pPr>
      <w:r w:rsidRPr="004604FD">
        <w:rPr>
          <w:rFonts w:ascii="Arial" w:hAnsi="Arial" w:cs="Arial"/>
          <w:bCs/>
        </w:rPr>
        <w:t>R1-2212432, Disabling of HARQ feedback for IoT NTN, Nordic Semiconductor ASA</w:t>
      </w:r>
    </w:p>
    <w:p w14:paraId="26EBB971" w14:textId="77777777" w:rsidR="0072080B" w:rsidRPr="004604FD" w:rsidRDefault="0072080B" w:rsidP="004604FD">
      <w:pPr>
        <w:tabs>
          <w:tab w:val="left" w:pos="567"/>
        </w:tabs>
        <w:snapToGrid w:val="0"/>
        <w:rPr>
          <w:rFonts w:ascii="Arial" w:hAnsi="Arial" w:cs="Arial"/>
          <w:bCs/>
          <w:highlight w:val="yellow"/>
        </w:rPr>
      </w:pPr>
    </w:p>
    <w:p w14:paraId="1975FD08" w14:textId="51657115" w:rsidR="0072080B" w:rsidRPr="004604FD" w:rsidRDefault="0072080B" w:rsidP="004604FD">
      <w:pPr>
        <w:tabs>
          <w:tab w:val="left" w:pos="567"/>
        </w:tabs>
        <w:snapToGrid w:val="0"/>
        <w:rPr>
          <w:rFonts w:ascii="Arial" w:hAnsi="Arial" w:cs="Arial"/>
          <w:bCs/>
          <w:u w:val="single"/>
        </w:rPr>
      </w:pPr>
      <w:r>
        <w:rPr>
          <w:rFonts w:ascii="Arial" w:hAnsi="Arial" w:cs="Arial"/>
          <w:bCs/>
          <w:u w:val="single"/>
        </w:rPr>
        <w:t>Submitted TDocs to AI 9.11.4</w:t>
      </w:r>
    </w:p>
    <w:p w14:paraId="0FDFAB11" w14:textId="73EDFDF2" w:rsidR="00837A32" w:rsidRDefault="00837A32" w:rsidP="00274156">
      <w:pPr>
        <w:pStyle w:val="ListParagraph"/>
        <w:numPr>
          <w:ilvl w:val="0"/>
          <w:numId w:val="35"/>
        </w:numPr>
        <w:tabs>
          <w:tab w:val="left" w:pos="567"/>
        </w:tabs>
        <w:snapToGrid w:val="0"/>
        <w:ind w:leftChars="0"/>
        <w:rPr>
          <w:rFonts w:ascii="Arial" w:hAnsi="Arial" w:cs="Arial"/>
          <w:bCs/>
        </w:rPr>
      </w:pPr>
      <w:r w:rsidRPr="00837A32">
        <w:rPr>
          <w:rFonts w:ascii="Arial" w:hAnsi="Arial" w:cs="Arial"/>
          <w:bCs/>
        </w:rPr>
        <w:t>R1-2212652</w:t>
      </w:r>
      <w:r>
        <w:rPr>
          <w:rFonts w:ascii="Arial" w:hAnsi="Arial" w:cs="Arial"/>
          <w:bCs/>
        </w:rPr>
        <w:t xml:space="preserve">, </w:t>
      </w:r>
      <w:r w:rsidRPr="00837A32">
        <w:rPr>
          <w:rFonts w:ascii="Arial" w:hAnsi="Arial" w:cs="Arial"/>
          <w:bCs/>
        </w:rPr>
        <w:t>Feature lead summary#2 of AI 9.11.4 on improved GNSS operations</w:t>
      </w:r>
      <w:r w:rsidRPr="00837A32">
        <w:rPr>
          <w:rFonts w:ascii="Arial" w:hAnsi="Arial" w:cs="Arial"/>
          <w:bCs/>
        </w:rPr>
        <w:tab/>
        <w:t>Moderator (MediaTek)</w:t>
      </w:r>
    </w:p>
    <w:p w14:paraId="6C84AB3E" w14:textId="429CAE83"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R1-2210875, Discussion on improved GNSS operations for IoT NTN, Huawei, HiSilicon</w:t>
      </w:r>
    </w:p>
    <w:p w14:paraId="38AA65FB" w14:textId="32A9AC9B"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R1-2211096, Improved GNSS operations for IoT NTN, MediaTek Inc.</w:t>
      </w:r>
    </w:p>
    <w:p w14:paraId="7C171CC8" w14:textId="33E64E30"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R1-2211112, Discussion on improved GNSS operation for IoT-NTN, ZTE</w:t>
      </w:r>
    </w:p>
    <w:p w14:paraId="1DB81341" w14:textId="7E562BC1"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R1-2211179, Considerations on improved GNSS operationts for IoT NTN, CATT</w:t>
      </w:r>
    </w:p>
    <w:p w14:paraId="39C75BFC" w14:textId="6C8778A7"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R1-2211249, Discussion on improved GNSS operations for IoT NTN, Spreadtrum Communications</w:t>
      </w:r>
    </w:p>
    <w:p w14:paraId="3020B54E" w14:textId="0EA40B6F"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R1-2211345, Discussion on the improved GNSS operation for IoT NTN, xiaomi</w:t>
      </w:r>
    </w:p>
    <w:p w14:paraId="71D8343F" w14:textId="67341AFE"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R1-2211463, Discussion on improved GNSS operations for IoT NTN, OPPO</w:t>
      </w:r>
    </w:p>
    <w:p w14:paraId="0E593699" w14:textId="6C965E9A"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R1-2211549, Enhancements for long connections in NB-IoT/eMTC over NTN, Nokia, Nokia Shanghai Bell</w:t>
      </w:r>
    </w:p>
    <w:p w14:paraId="0F9039AB" w14:textId="3305401D"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R1-2211701, Discussion on improved GNSS operations for IoT NTN, CMCC</w:t>
      </w:r>
    </w:p>
    <w:p w14:paraId="2B00FD6F" w14:textId="608BB4A1"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R1-2211735, GNSS acquisition and reporting in IoT NTN, InterDigital, Inc.</w:t>
      </w:r>
    </w:p>
    <w:p w14:paraId="60075A86" w14:textId="3571E96B"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R1-2211755, On Improved GNSS Operations for IoT NTN, NEC</w:t>
      </w:r>
    </w:p>
    <w:p w14:paraId="1528A04C" w14:textId="46A58D1E"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R1-2211764, On Improved GNSS operation in IoT NTN, Ericsson Limited</w:t>
      </w:r>
    </w:p>
    <w:p w14:paraId="529A4060" w14:textId="4C0579E3"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R1-2211831, On Improved GNSS Operations for IoT NTN, Apple</w:t>
      </w:r>
    </w:p>
    <w:p w14:paraId="02A488A2" w14:textId="5472486A"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R1-2211885, Improved GNSS operations for IoT NTN, Lenovo</w:t>
      </w:r>
    </w:p>
    <w:p w14:paraId="7D1A5596" w14:textId="6FD02526"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R1-2212067, Improved GNSS operations for IoT NTN, Samsung</w:t>
      </w:r>
    </w:p>
    <w:p w14:paraId="42F44EA1" w14:textId="77777777" w:rsid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R1-2212139, Improved GNSS Operations for IoT-NTN, Qualcomm Incorporated</w:t>
      </w:r>
    </w:p>
    <w:p w14:paraId="1761F796" w14:textId="7DFF372A" w:rsidR="0072080B" w:rsidRPr="00274156" w:rsidRDefault="0072080B" w:rsidP="00274156">
      <w:pPr>
        <w:pStyle w:val="ListParagraph"/>
        <w:numPr>
          <w:ilvl w:val="0"/>
          <w:numId w:val="35"/>
        </w:numPr>
        <w:tabs>
          <w:tab w:val="left" w:pos="567"/>
        </w:tabs>
        <w:snapToGrid w:val="0"/>
        <w:ind w:leftChars="0"/>
        <w:rPr>
          <w:rFonts w:ascii="Arial" w:hAnsi="Arial" w:cs="Arial"/>
          <w:bCs/>
        </w:rPr>
      </w:pPr>
      <w:r w:rsidRPr="00274156">
        <w:rPr>
          <w:rFonts w:ascii="Arial" w:hAnsi="Arial" w:cs="Arial"/>
          <w:bCs/>
        </w:rPr>
        <w:t>R1-2212433, Improved GNSS operation for IoT NTN, Nordic Semiconductor ASA</w:t>
      </w:r>
    </w:p>
    <w:p w14:paraId="201931D0" w14:textId="77777777" w:rsidR="0072080B" w:rsidRDefault="0072080B">
      <w:pPr>
        <w:tabs>
          <w:tab w:val="left" w:pos="567"/>
        </w:tabs>
        <w:overflowPunct/>
        <w:autoSpaceDE/>
        <w:autoSpaceDN/>
        <w:snapToGrid w:val="0"/>
        <w:spacing w:after="0"/>
        <w:rPr>
          <w:rFonts w:ascii="Arial" w:hAnsi="Arial" w:cs="Arial"/>
          <w:bCs/>
          <w:highlight w:val="yellow"/>
          <w:lang w:eastAsia="ja-JP"/>
        </w:rPr>
      </w:pPr>
    </w:p>
    <w:p w14:paraId="61509B31" w14:textId="75795CBC" w:rsidR="0072080B" w:rsidRDefault="0072080B">
      <w:pPr>
        <w:tabs>
          <w:tab w:val="left" w:pos="567"/>
        </w:tabs>
        <w:overflowPunct/>
        <w:autoSpaceDE/>
        <w:autoSpaceDN/>
        <w:snapToGrid w:val="0"/>
        <w:spacing w:after="0"/>
        <w:rPr>
          <w:rFonts w:ascii="Arial" w:hAnsi="Arial" w:cs="Arial"/>
          <w:bCs/>
          <w:highlight w:val="yellow"/>
          <w:lang w:eastAsia="ja-JP"/>
        </w:rPr>
      </w:pPr>
    </w:p>
    <w:p w14:paraId="4BE79F8B" w14:textId="7AD9065D" w:rsidR="0072080B" w:rsidRPr="00C9440A" w:rsidRDefault="0072080B" w:rsidP="00C9440A">
      <w:pPr>
        <w:tabs>
          <w:tab w:val="left" w:pos="567"/>
        </w:tabs>
        <w:snapToGrid w:val="0"/>
        <w:rPr>
          <w:rFonts w:ascii="Arial" w:hAnsi="Arial" w:cs="Arial"/>
          <w:b/>
          <w:bCs/>
          <w:highlight w:val="yellow"/>
        </w:rPr>
      </w:pPr>
      <w:r>
        <w:rPr>
          <w:rFonts w:ascii="Arial" w:hAnsi="Arial" w:cs="Arial"/>
          <w:b/>
          <w:lang w:eastAsia="en-US"/>
        </w:rPr>
        <w:t>RAN1#110b-e, October 10th – 19th, 2022</w:t>
      </w:r>
    </w:p>
    <w:p w14:paraId="04CC9377" w14:textId="77777777" w:rsidR="0072080B" w:rsidRPr="00E22DDC" w:rsidRDefault="0072080B">
      <w:pPr>
        <w:tabs>
          <w:tab w:val="left" w:pos="567"/>
        </w:tabs>
        <w:overflowPunct/>
        <w:autoSpaceDE/>
        <w:autoSpaceDN/>
        <w:snapToGrid w:val="0"/>
        <w:spacing w:after="0"/>
        <w:rPr>
          <w:rFonts w:ascii="Arial" w:hAnsi="Arial" w:cs="Arial"/>
          <w:bCs/>
          <w:highlight w:val="yellow"/>
          <w:lang w:eastAsia="ja-JP"/>
        </w:rPr>
      </w:pPr>
    </w:p>
    <w:p w14:paraId="691A2BD1" w14:textId="280DD5B1" w:rsidR="0072080B" w:rsidRDefault="0072080B" w:rsidP="0072080B">
      <w:pPr>
        <w:tabs>
          <w:tab w:val="left" w:pos="567"/>
        </w:tabs>
        <w:snapToGrid w:val="0"/>
        <w:rPr>
          <w:rFonts w:ascii="Arial" w:hAnsi="Arial" w:cs="Arial"/>
          <w:bCs/>
          <w:u w:val="single"/>
        </w:rPr>
      </w:pPr>
      <w:r>
        <w:rPr>
          <w:rFonts w:ascii="Arial" w:hAnsi="Arial" w:cs="Arial"/>
          <w:bCs/>
          <w:u w:val="single"/>
        </w:rPr>
        <w:t>Submitted TDocs to AI 9.11.3</w:t>
      </w:r>
    </w:p>
    <w:p w14:paraId="1CA20206" w14:textId="2D8685EB" w:rsidR="00106136" w:rsidRDefault="00106136" w:rsidP="00C9440A">
      <w:pPr>
        <w:pStyle w:val="ListParagraph"/>
        <w:numPr>
          <w:ilvl w:val="0"/>
          <w:numId w:val="40"/>
        </w:numPr>
        <w:tabs>
          <w:tab w:val="left" w:pos="567"/>
        </w:tabs>
        <w:snapToGrid w:val="0"/>
        <w:ind w:leftChars="0"/>
        <w:rPr>
          <w:rFonts w:ascii="Arial" w:hAnsi="Arial" w:cs="Arial"/>
          <w:bCs/>
        </w:rPr>
      </w:pPr>
      <w:r w:rsidRPr="00106136">
        <w:rPr>
          <w:rFonts w:ascii="Arial" w:hAnsi="Arial" w:cs="Arial"/>
          <w:bCs/>
        </w:rPr>
        <w:t>R1-2210330</w:t>
      </w:r>
      <w:r>
        <w:rPr>
          <w:rFonts w:ascii="Arial" w:hAnsi="Arial" w:cs="Arial"/>
          <w:bCs/>
        </w:rPr>
        <w:t xml:space="preserve">, </w:t>
      </w:r>
      <w:r w:rsidRPr="00106136">
        <w:rPr>
          <w:rFonts w:ascii="Arial" w:hAnsi="Arial" w:cs="Arial"/>
          <w:bCs/>
        </w:rPr>
        <w:t>FLS#2 on disabling of HARQ feedback for IoT NTN</w:t>
      </w:r>
      <w:r w:rsidRPr="00106136">
        <w:rPr>
          <w:rFonts w:ascii="Arial" w:hAnsi="Arial" w:cs="Arial"/>
          <w:bCs/>
        </w:rPr>
        <w:tab/>
        <w:t>Moderator (Lenovo)</w:t>
      </w:r>
    </w:p>
    <w:p w14:paraId="0F104304" w14:textId="47A4E996"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R1-2208397, Disabling of HARQ for IoT NTN</w:t>
      </w:r>
      <w:r w:rsidRPr="00C9440A">
        <w:rPr>
          <w:rFonts w:ascii="Arial" w:hAnsi="Arial" w:cs="Arial"/>
          <w:bCs/>
        </w:rPr>
        <w:tab/>
        <w:t>MediaTek Inc.</w:t>
      </w:r>
    </w:p>
    <w:p w14:paraId="7DE7BC94" w14:textId="33B66EC3"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R1-2208437, Discussion on disabling of HARQ feedback for IoT NTN</w:t>
      </w:r>
      <w:r w:rsidRPr="00C9440A">
        <w:rPr>
          <w:rFonts w:ascii="Arial" w:hAnsi="Arial" w:cs="Arial"/>
          <w:bCs/>
        </w:rPr>
        <w:tab/>
        <w:t>Huawei, HiSilicon</w:t>
      </w:r>
    </w:p>
    <w:p w14:paraId="3E3A6896" w14:textId="11E89627"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R1-2208568, Discussion on disabling of HARQ feedback for IoT NTN</w:t>
      </w:r>
      <w:r w:rsidRPr="00C9440A">
        <w:rPr>
          <w:rFonts w:ascii="Arial" w:hAnsi="Arial" w:cs="Arial"/>
          <w:bCs/>
        </w:rPr>
        <w:tab/>
        <w:t>Spreadtrum Communications</w:t>
      </w:r>
    </w:p>
    <w:p w14:paraId="61CB0ED8" w14:textId="7C5FC88A"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R1-2208695, Discussion on disabling of HARQ feedback for IoT-NTN</w:t>
      </w:r>
      <w:r w:rsidRPr="00C9440A">
        <w:rPr>
          <w:rFonts w:ascii="Arial" w:hAnsi="Arial" w:cs="Arial"/>
          <w:bCs/>
        </w:rPr>
        <w:tab/>
        <w:t>ZTE</w:t>
      </w:r>
    </w:p>
    <w:p w14:paraId="460551D4" w14:textId="5D15F857"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R1-2208836, Discussion on disabling of HARQ feedback for IoT NTN</w:t>
      </w:r>
      <w:r w:rsidRPr="00C9440A">
        <w:rPr>
          <w:rFonts w:ascii="Arial" w:hAnsi="Arial" w:cs="Arial"/>
          <w:bCs/>
        </w:rPr>
        <w:tab/>
        <w:t>OPPO</w:t>
      </w:r>
    </w:p>
    <w:p w14:paraId="5521184B" w14:textId="08866C0B"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R1-2208956, Discussion on disabling of HARQ feedback for IoT NTN</w:t>
      </w:r>
      <w:r w:rsidRPr="00C9440A">
        <w:rPr>
          <w:rFonts w:ascii="Arial" w:hAnsi="Arial" w:cs="Arial"/>
          <w:bCs/>
        </w:rPr>
        <w:tab/>
        <w:t>CATT</w:t>
      </w:r>
    </w:p>
    <w:p w14:paraId="71ADCCC2" w14:textId="66BFA7A9"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lastRenderedPageBreak/>
        <w:t>R1-2209157, Disabling of HARQ feedback for IoT NTN</w:t>
      </w:r>
      <w:r w:rsidRPr="00C9440A">
        <w:rPr>
          <w:rFonts w:ascii="Arial" w:hAnsi="Arial" w:cs="Arial"/>
          <w:bCs/>
        </w:rPr>
        <w:tab/>
        <w:t>NEC</w:t>
      </w:r>
    </w:p>
    <w:p w14:paraId="339534AD" w14:textId="6007D8C4"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R1-2209218, Disabling of HARQ feedback for IoT NTN</w:t>
      </w:r>
      <w:r w:rsidRPr="00C9440A">
        <w:rPr>
          <w:rFonts w:ascii="Arial" w:hAnsi="Arial" w:cs="Arial"/>
          <w:bCs/>
        </w:rPr>
        <w:tab/>
        <w:t>Nordic Semiconductor ASA</w:t>
      </w:r>
    </w:p>
    <w:p w14:paraId="7E12909C" w14:textId="4D816738"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R1-2209245, Disabling of HARQ feedback for NB-IoT/eMTC over NTN</w:t>
      </w:r>
      <w:r w:rsidRPr="00C9440A">
        <w:rPr>
          <w:rFonts w:ascii="Arial" w:hAnsi="Arial" w:cs="Arial"/>
          <w:bCs/>
        </w:rPr>
        <w:tab/>
        <w:t>Nokia, Nokia Shanghai Bell</w:t>
      </w:r>
    </w:p>
    <w:p w14:paraId="2942A09E" w14:textId="6EB0C231"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R1-2209266, Discussion on the HARQ operation for IoT NTN</w:t>
      </w:r>
      <w:r w:rsidRPr="00C9440A">
        <w:rPr>
          <w:rFonts w:ascii="Arial" w:hAnsi="Arial" w:cs="Arial"/>
          <w:bCs/>
        </w:rPr>
        <w:tab/>
        <w:t>xiaomi</w:t>
      </w:r>
    </w:p>
    <w:p w14:paraId="7C188F42" w14:textId="02A3BFB6"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R1-2209357, Discussion on disabling of HARQ feedback for IoT NTN</w:t>
      </w:r>
      <w:r w:rsidRPr="00C9440A">
        <w:rPr>
          <w:rFonts w:ascii="Arial" w:hAnsi="Arial" w:cs="Arial"/>
          <w:bCs/>
        </w:rPr>
        <w:tab/>
        <w:t>CMCC</w:t>
      </w:r>
    </w:p>
    <w:p w14:paraId="553CCA37" w14:textId="7E14FF93"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R1-2209601, Discussion on HARQ Feedback Disabling for IoT NTN</w:t>
      </w:r>
      <w:r w:rsidRPr="00C9440A">
        <w:rPr>
          <w:rFonts w:ascii="Arial" w:hAnsi="Arial" w:cs="Arial"/>
          <w:bCs/>
        </w:rPr>
        <w:tab/>
        <w:t>Apple</w:t>
      </w:r>
    </w:p>
    <w:p w14:paraId="182687E9" w14:textId="7DACA663"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R1-2209644, Disabling of HARQ feedback in IoT-NTN</w:t>
      </w:r>
      <w:r w:rsidRPr="00C9440A">
        <w:rPr>
          <w:rFonts w:ascii="Arial" w:hAnsi="Arial" w:cs="Arial"/>
          <w:bCs/>
        </w:rPr>
        <w:tab/>
        <w:t>InterDigital, Inc.</w:t>
      </w:r>
    </w:p>
    <w:p w14:paraId="1938A6A6" w14:textId="2E0DA35F"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R1-2209651, On disabling HARQ feedback for IOT-NTN</w:t>
      </w:r>
      <w:r w:rsidRPr="00C9440A">
        <w:rPr>
          <w:rFonts w:ascii="Arial" w:hAnsi="Arial" w:cs="Arial"/>
          <w:bCs/>
        </w:rPr>
        <w:tab/>
        <w:t>Mavenir</w:t>
      </w:r>
    </w:p>
    <w:p w14:paraId="2D5E0034" w14:textId="2523F2FB"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R1-2209752, Disabling of HARQ feedback for IoT NTN</w:t>
      </w:r>
      <w:r w:rsidRPr="00C9440A">
        <w:rPr>
          <w:rFonts w:ascii="Arial" w:hAnsi="Arial" w:cs="Arial"/>
          <w:bCs/>
        </w:rPr>
        <w:tab/>
        <w:t>Samsung</w:t>
      </w:r>
    </w:p>
    <w:p w14:paraId="0A3A92D3" w14:textId="66EFC8EB"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R1-2209931, Discussions on disabling of HARQ feedback for IoT NTN</w:t>
      </w:r>
      <w:r w:rsidRPr="00C9440A">
        <w:rPr>
          <w:rFonts w:ascii="Arial" w:hAnsi="Arial" w:cs="Arial"/>
          <w:bCs/>
        </w:rPr>
        <w:tab/>
        <w:t>Sharp</w:t>
      </w:r>
    </w:p>
    <w:p w14:paraId="041F6A85" w14:textId="6E34FA76" w:rsidR="00C9440A"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R1-2210006, Disabling HARQ Feedback for IoT-NTN</w:t>
      </w:r>
      <w:r w:rsidRPr="00C9440A">
        <w:rPr>
          <w:rFonts w:ascii="Arial" w:hAnsi="Arial" w:cs="Arial"/>
          <w:bCs/>
        </w:rPr>
        <w:tab/>
        <w:t>Qualcomm Incorporated</w:t>
      </w:r>
    </w:p>
    <w:p w14:paraId="7328AF46" w14:textId="77777777" w:rsid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R1-2210024, Disabling of HARQ feedback for IoT NTN</w:t>
      </w:r>
      <w:r w:rsidRPr="00C9440A">
        <w:rPr>
          <w:rFonts w:ascii="Arial" w:hAnsi="Arial" w:cs="Arial"/>
          <w:bCs/>
        </w:rPr>
        <w:tab/>
        <w:t>Lenovo</w:t>
      </w:r>
    </w:p>
    <w:p w14:paraId="0A575DD9" w14:textId="68BE9A0C" w:rsidR="00F9174B" w:rsidRPr="00C9440A" w:rsidRDefault="00C9440A" w:rsidP="00C9440A">
      <w:pPr>
        <w:pStyle w:val="ListParagraph"/>
        <w:numPr>
          <w:ilvl w:val="0"/>
          <w:numId w:val="40"/>
        </w:numPr>
        <w:tabs>
          <w:tab w:val="left" w:pos="567"/>
        </w:tabs>
        <w:snapToGrid w:val="0"/>
        <w:ind w:leftChars="0"/>
        <w:rPr>
          <w:rFonts w:ascii="Arial" w:hAnsi="Arial" w:cs="Arial"/>
          <w:bCs/>
        </w:rPr>
      </w:pPr>
      <w:r w:rsidRPr="00C9440A">
        <w:rPr>
          <w:rFonts w:ascii="Arial" w:hAnsi="Arial" w:cs="Arial"/>
          <w:bCs/>
        </w:rPr>
        <w:t>R1-2210071, On disabling HARQ feedback for IoT NTN</w:t>
      </w:r>
      <w:r w:rsidRPr="00C9440A">
        <w:rPr>
          <w:rFonts w:ascii="Arial" w:hAnsi="Arial" w:cs="Arial"/>
          <w:bCs/>
        </w:rPr>
        <w:tab/>
        <w:t>Ericsson</w:t>
      </w:r>
    </w:p>
    <w:p w14:paraId="480ED34A" w14:textId="77777777" w:rsidR="0072080B" w:rsidRPr="00E22DDC" w:rsidRDefault="0072080B">
      <w:pPr>
        <w:tabs>
          <w:tab w:val="left" w:pos="567"/>
        </w:tabs>
        <w:overflowPunct/>
        <w:autoSpaceDE/>
        <w:autoSpaceDN/>
        <w:snapToGrid w:val="0"/>
        <w:spacing w:after="0"/>
        <w:rPr>
          <w:rFonts w:ascii="Arial" w:hAnsi="Arial" w:cs="Arial"/>
          <w:bCs/>
          <w:highlight w:val="yellow"/>
          <w:lang w:eastAsia="ja-JP"/>
        </w:rPr>
      </w:pPr>
    </w:p>
    <w:p w14:paraId="54B7F4B8" w14:textId="759C8FD8" w:rsidR="00F9174B" w:rsidRPr="0072080B" w:rsidRDefault="00827744">
      <w:pPr>
        <w:tabs>
          <w:tab w:val="left" w:pos="567"/>
        </w:tabs>
        <w:snapToGrid w:val="0"/>
        <w:rPr>
          <w:rFonts w:ascii="Arial" w:hAnsi="Arial" w:cs="Arial"/>
          <w:bCs/>
          <w:u w:val="single"/>
        </w:rPr>
      </w:pPr>
      <w:r w:rsidRPr="0072080B">
        <w:rPr>
          <w:rFonts w:ascii="Arial" w:hAnsi="Arial" w:cs="Arial"/>
          <w:bCs/>
          <w:u w:val="single"/>
        </w:rPr>
        <w:t>Submitted TDocs to AI 9.1</w:t>
      </w:r>
      <w:r w:rsidR="0072080B">
        <w:rPr>
          <w:rFonts w:ascii="Arial" w:hAnsi="Arial" w:cs="Arial"/>
          <w:bCs/>
          <w:u w:val="single"/>
        </w:rPr>
        <w:t>1</w:t>
      </w:r>
      <w:r w:rsidRPr="0072080B">
        <w:rPr>
          <w:rFonts w:ascii="Arial" w:hAnsi="Arial" w:cs="Arial"/>
          <w:bCs/>
          <w:u w:val="single"/>
        </w:rPr>
        <w:t>.</w:t>
      </w:r>
      <w:r w:rsidR="0072080B" w:rsidRPr="0072080B">
        <w:rPr>
          <w:rFonts w:ascii="Arial" w:hAnsi="Arial" w:cs="Arial"/>
          <w:bCs/>
          <w:u w:val="single"/>
        </w:rPr>
        <w:t>4</w:t>
      </w:r>
    </w:p>
    <w:p w14:paraId="6AEDEEF7" w14:textId="77777777" w:rsidR="00E558C1" w:rsidRPr="00E558C1" w:rsidRDefault="00E558C1" w:rsidP="00E558C1">
      <w:pPr>
        <w:pStyle w:val="ListParagraph"/>
        <w:numPr>
          <w:ilvl w:val="0"/>
          <w:numId w:val="21"/>
        </w:numPr>
        <w:tabs>
          <w:tab w:val="num" w:pos="360"/>
          <w:tab w:val="left" w:pos="567"/>
        </w:tabs>
        <w:snapToGrid w:val="0"/>
        <w:ind w:leftChars="0"/>
        <w:rPr>
          <w:rFonts w:ascii="Arial" w:hAnsi="Arial" w:cs="Arial"/>
          <w:bCs/>
          <w:lang w:eastAsia="zh-TW"/>
        </w:rPr>
      </w:pPr>
      <w:r w:rsidRPr="00E558C1">
        <w:rPr>
          <w:rFonts w:ascii="Arial" w:hAnsi="Arial" w:cs="Arial"/>
          <w:bCs/>
        </w:rPr>
        <w:t>R1-2210564, Feature lead summary#3 of AI 9.11.4 on improved GNSS operations</w:t>
      </w:r>
      <w:r w:rsidRPr="00E558C1">
        <w:rPr>
          <w:rFonts w:ascii="Arial" w:hAnsi="Arial" w:cs="Arial"/>
          <w:bCs/>
        </w:rPr>
        <w:tab/>
        <w:t>Moderator (MediaTek Inc.)</w:t>
      </w:r>
    </w:p>
    <w:p w14:paraId="24D030EB"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R1-2208389, Improved GNSS operations for IoT NTN, MediaTek Inc.</w:t>
      </w:r>
    </w:p>
    <w:p w14:paraId="61F16B2E"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R1-2208438, Discussion on improved GNSS operations for IoT NTN, Huawei, HiSilicon</w:t>
      </w:r>
    </w:p>
    <w:p w14:paraId="05A9AC51"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R1-2208569, Discussion on improved GNSS operations for IoT NTN, Spreadtrum Communications</w:t>
      </w:r>
    </w:p>
    <w:p w14:paraId="5944426B"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R1-2208696, Discussion on improved GNSS operation for IoT-NTN, ZTE</w:t>
      </w:r>
    </w:p>
    <w:p w14:paraId="2AB4D60B"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R1-2208837, Discussion on improved GNSS operations for IoT NTN, OPPO</w:t>
      </w:r>
    </w:p>
    <w:p w14:paraId="76842F4C"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R1-2208957, Improved GNSS operations for IoT NTN, CATT</w:t>
      </w:r>
    </w:p>
    <w:p w14:paraId="48176581"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R1-2209219, Improved GNSS operations for IoT NTN, Nordic Semiconductor ASA</w:t>
      </w:r>
    </w:p>
    <w:p w14:paraId="449DD91C"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R1-2209246, Enhancements for long connections in NB-IoT/eMTC over NTN, Nokia, Nokia Shanghai Bell</w:t>
      </w:r>
    </w:p>
    <w:p w14:paraId="769ED971"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R1-2209267, Discussion on improved GNSS operation for IoT NTN, Xiaomi</w:t>
      </w:r>
    </w:p>
    <w:p w14:paraId="4708AED3"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R1-2209358, Discussion on improved GNSS operations for IoT NTN, CMCC</w:t>
      </w:r>
    </w:p>
    <w:p w14:paraId="3327A859"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R1-2209602, On Improved GNSS Operations for IoT NTN, Apple</w:t>
      </w:r>
    </w:p>
    <w:p w14:paraId="1372340E"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R1-2209645, On improved GNSS operation for IoT-NTN, InterDigital, Inc.</w:t>
      </w:r>
    </w:p>
    <w:p w14:paraId="1F43A8C5"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R1-2209648, On improved GNSS operation in IoT NTN, Ericsson Limited</w:t>
      </w:r>
    </w:p>
    <w:p w14:paraId="01AE6370" w14:textId="77777777" w:rsidR="0072080B" w:rsidRPr="0072080B" w:rsidRDefault="0072080B" w:rsidP="0072080B">
      <w:pPr>
        <w:pStyle w:val="ListParagraph"/>
        <w:numPr>
          <w:ilvl w:val="0"/>
          <w:numId w:val="21"/>
        </w:numPr>
        <w:tabs>
          <w:tab w:val="left" w:pos="567"/>
        </w:tabs>
        <w:snapToGrid w:val="0"/>
        <w:ind w:leftChars="0"/>
        <w:rPr>
          <w:rFonts w:ascii="Arial" w:hAnsi="Arial" w:cs="Arial"/>
          <w:bCs/>
          <w:sz w:val="20"/>
          <w:szCs w:val="20"/>
        </w:rPr>
      </w:pPr>
      <w:r w:rsidRPr="0072080B">
        <w:rPr>
          <w:rFonts w:ascii="Arial" w:hAnsi="Arial" w:cs="Arial"/>
          <w:bCs/>
          <w:sz w:val="20"/>
          <w:szCs w:val="20"/>
        </w:rPr>
        <w:t>R1-2209705, Improved GNSS operations for IoT NTN, Samsung</w:t>
      </w:r>
    </w:p>
    <w:p w14:paraId="723E5071" w14:textId="77777777" w:rsidR="0072080B" w:rsidRPr="0072080B" w:rsidRDefault="0072080B" w:rsidP="0072080B">
      <w:pPr>
        <w:tabs>
          <w:tab w:val="left" w:pos="567"/>
        </w:tabs>
        <w:snapToGrid w:val="0"/>
        <w:rPr>
          <w:rFonts w:ascii="Arial" w:hAnsi="Arial" w:cs="Arial"/>
          <w:bCs/>
          <w:highlight w:val="yellow"/>
        </w:rPr>
      </w:pPr>
    </w:p>
    <w:p w14:paraId="68C9A05B" w14:textId="77777777" w:rsidR="00F9174B" w:rsidRDefault="00827744">
      <w:pPr>
        <w:pStyle w:val="Heading2"/>
        <w:rPr>
          <w:lang w:eastAsia="ja-JP"/>
        </w:rPr>
      </w:pPr>
      <w:r>
        <w:rPr>
          <w:lang w:eastAsia="ja-JP"/>
        </w:rPr>
        <w:t>4.2</w:t>
      </w:r>
      <w:r>
        <w:rPr>
          <w:lang w:eastAsia="ja-JP"/>
        </w:rPr>
        <w:tab/>
        <w:t>RAN2</w:t>
      </w:r>
    </w:p>
    <w:p w14:paraId="3286ED3F" w14:textId="02996E86" w:rsidR="00A429FE" w:rsidRDefault="00A429FE" w:rsidP="00E22DDC">
      <w:pPr>
        <w:tabs>
          <w:tab w:val="left" w:pos="567"/>
        </w:tabs>
        <w:snapToGrid w:val="0"/>
        <w:rPr>
          <w:rFonts w:ascii="Arial" w:hAnsi="Arial" w:cs="Arial"/>
          <w:bCs/>
          <w:u w:val="single"/>
        </w:rPr>
      </w:pPr>
      <w:r>
        <w:rPr>
          <w:rFonts w:ascii="Arial" w:hAnsi="Arial" w:cs="Arial"/>
          <w:b/>
          <w:lang w:eastAsia="en-US"/>
        </w:rPr>
        <w:t xml:space="preserve">RAN2#120, November 14th – 18th, 2022, </w:t>
      </w:r>
      <w:r w:rsidRPr="00544EA6">
        <w:rPr>
          <w:rFonts w:ascii="Arial" w:hAnsi="Arial" w:cs="Arial"/>
          <w:b/>
          <w:lang w:eastAsia="en-US"/>
        </w:rPr>
        <w:t>Toulouse, France</w:t>
      </w:r>
    </w:p>
    <w:p w14:paraId="76B05411" w14:textId="2F1778ED" w:rsidR="00E22DDC" w:rsidRDefault="00E22DDC" w:rsidP="00E22DDC">
      <w:pPr>
        <w:tabs>
          <w:tab w:val="left" w:pos="567"/>
        </w:tabs>
        <w:snapToGrid w:val="0"/>
        <w:rPr>
          <w:rFonts w:ascii="Arial" w:hAnsi="Arial" w:cs="Arial"/>
          <w:bCs/>
          <w:u w:val="single"/>
        </w:rPr>
      </w:pPr>
      <w:r>
        <w:rPr>
          <w:rFonts w:ascii="Arial" w:hAnsi="Arial" w:cs="Arial"/>
          <w:bCs/>
          <w:u w:val="single"/>
        </w:rPr>
        <w:t>Submitted TDocs to AI 8.6.1</w:t>
      </w:r>
    </w:p>
    <w:p w14:paraId="559C2BF5" w14:textId="780039BE" w:rsidR="00E22DDC" w:rsidRDefault="00E22DDC" w:rsidP="00E22DDC">
      <w:pPr>
        <w:pStyle w:val="Doc-title"/>
        <w:numPr>
          <w:ilvl w:val="0"/>
          <w:numId w:val="23"/>
        </w:numPr>
      </w:pPr>
      <w:r>
        <w:t>R2-221158</w:t>
      </w:r>
      <w:r>
        <w:tab/>
        <w:t>IoT-NTN Agreements List</w:t>
      </w:r>
      <w:r>
        <w:tab/>
      </w:r>
      <w:r>
        <w:tab/>
        <w:t>Mediatek India Technology Pvt.</w:t>
      </w:r>
    </w:p>
    <w:p w14:paraId="68FA27DB" w14:textId="77777777" w:rsidR="00E22DDC" w:rsidRDefault="00E22DDC">
      <w:pPr>
        <w:tabs>
          <w:tab w:val="left" w:pos="567"/>
        </w:tabs>
        <w:snapToGrid w:val="0"/>
        <w:rPr>
          <w:rFonts w:ascii="Arial" w:hAnsi="Arial" w:cs="Arial"/>
          <w:bCs/>
          <w:u w:val="single"/>
        </w:rPr>
      </w:pPr>
    </w:p>
    <w:p w14:paraId="16DC72FC" w14:textId="6A9B3E33" w:rsidR="00F9174B" w:rsidRDefault="00827744">
      <w:pPr>
        <w:tabs>
          <w:tab w:val="left" w:pos="567"/>
        </w:tabs>
        <w:snapToGrid w:val="0"/>
        <w:rPr>
          <w:rFonts w:ascii="Arial" w:hAnsi="Arial" w:cs="Arial"/>
          <w:bCs/>
          <w:u w:val="single"/>
        </w:rPr>
      </w:pPr>
      <w:r>
        <w:rPr>
          <w:rFonts w:ascii="Arial" w:hAnsi="Arial" w:cs="Arial"/>
          <w:bCs/>
          <w:u w:val="single"/>
        </w:rPr>
        <w:t>Submitted TDocs to AI 8.6.2</w:t>
      </w:r>
      <w:r w:rsidR="00E22DDC">
        <w:rPr>
          <w:rFonts w:ascii="Arial" w:hAnsi="Arial" w:cs="Arial"/>
          <w:bCs/>
          <w:u w:val="single"/>
        </w:rPr>
        <w:t>.1</w:t>
      </w:r>
    </w:p>
    <w:p w14:paraId="44CBE069" w14:textId="07F9F471" w:rsidR="00E22DDC" w:rsidRDefault="00E22DDC" w:rsidP="00E22DDC">
      <w:pPr>
        <w:pStyle w:val="Doc-title"/>
        <w:numPr>
          <w:ilvl w:val="0"/>
          <w:numId w:val="23"/>
        </w:numPr>
      </w:pPr>
      <w:r>
        <w:t>R2-2211288</w:t>
      </w:r>
      <w:r>
        <w:tab/>
        <w:t>On Disabling HARQ Feedback in IoT-NTN</w:t>
      </w:r>
      <w:r>
        <w:tab/>
        <w:t>Mediatek Inc.</w:t>
      </w:r>
    </w:p>
    <w:p w14:paraId="5C6D0125" w14:textId="77777777" w:rsidR="00E22DDC" w:rsidRDefault="00E22DDC" w:rsidP="00E22DDC">
      <w:pPr>
        <w:pStyle w:val="Doc-title"/>
        <w:numPr>
          <w:ilvl w:val="0"/>
          <w:numId w:val="23"/>
        </w:numPr>
      </w:pPr>
      <w:r>
        <w:t>R2-2211311</w:t>
      </w:r>
      <w:r>
        <w:tab/>
        <w:t>Discussion on the HARQ disabling in IoT NTN</w:t>
      </w:r>
      <w:r>
        <w:tab/>
        <w:t>CATT</w:t>
      </w:r>
    </w:p>
    <w:p w14:paraId="5CD1E2F3" w14:textId="77777777" w:rsidR="00E22DDC" w:rsidRDefault="00E22DDC" w:rsidP="00E22DDC">
      <w:pPr>
        <w:pStyle w:val="Doc-title"/>
        <w:numPr>
          <w:ilvl w:val="0"/>
          <w:numId w:val="23"/>
        </w:numPr>
      </w:pPr>
      <w:r>
        <w:t>R2-2211336</w:t>
      </w:r>
      <w:r>
        <w:tab/>
        <w:t>Discussion on HARQ enhancement for IoT NTN</w:t>
      </w:r>
      <w:r>
        <w:tab/>
        <w:t>OPPO</w:t>
      </w:r>
    </w:p>
    <w:p w14:paraId="7AFC5D70" w14:textId="77777777" w:rsidR="00E22DDC" w:rsidRDefault="00E22DDC" w:rsidP="00E22DDC">
      <w:pPr>
        <w:pStyle w:val="Doc-title"/>
        <w:numPr>
          <w:ilvl w:val="0"/>
          <w:numId w:val="23"/>
        </w:numPr>
      </w:pPr>
      <w:r>
        <w:t>R2-2211518</w:t>
      </w:r>
      <w:r>
        <w:tab/>
        <w:t>Discussion on HARQ disabling for NB-IoT NTN</w:t>
      </w:r>
      <w:r>
        <w:tab/>
        <w:t>Huawei, HiSilicon</w:t>
      </w:r>
    </w:p>
    <w:p w14:paraId="3E9997BC" w14:textId="77777777" w:rsidR="00E22DDC" w:rsidRDefault="00E22DDC" w:rsidP="00E22DDC">
      <w:pPr>
        <w:pStyle w:val="Doc-title"/>
        <w:numPr>
          <w:ilvl w:val="0"/>
          <w:numId w:val="23"/>
        </w:numPr>
      </w:pPr>
      <w:r>
        <w:t>R2-2211549</w:t>
      </w:r>
      <w:r>
        <w:tab/>
        <w:t>Remaining Issues on HARQ Feedback in IoT NTN</w:t>
      </w:r>
      <w:r>
        <w:tab/>
        <w:t>Lockheed Martin</w:t>
      </w:r>
    </w:p>
    <w:p w14:paraId="255EDF7D" w14:textId="77777777" w:rsidR="00E22DDC" w:rsidRDefault="00E22DDC" w:rsidP="00E22DDC">
      <w:pPr>
        <w:pStyle w:val="Doc-title"/>
        <w:numPr>
          <w:ilvl w:val="0"/>
          <w:numId w:val="23"/>
        </w:numPr>
      </w:pPr>
      <w:r>
        <w:t>R2-2211578</w:t>
      </w:r>
      <w:r>
        <w:tab/>
        <w:t>Enhancement for UL and DL HARQ processes</w:t>
      </w:r>
      <w:r>
        <w:tab/>
        <w:t>Qualcomm Incorporated</w:t>
      </w:r>
    </w:p>
    <w:p w14:paraId="679A0EC2" w14:textId="77777777" w:rsidR="00E22DDC" w:rsidRDefault="00E22DDC" w:rsidP="00E22DDC">
      <w:pPr>
        <w:pStyle w:val="Doc-title"/>
        <w:numPr>
          <w:ilvl w:val="0"/>
          <w:numId w:val="23"/>
        </w:numPr>
      </w:pPr>
      <w:r>
        <w:t>R2-2211833</w:t>
      </w:r>
      <w:r>
        <w:tab/>
        <w:t>Discussion on HARQ enhancement for IoT NTN.</w:t>
      </w:r>
      <w:r>
        <w:tab/>
        <w:t>Transsion Holdings</w:t>
      </w:r>
    </w:p>
    <w:p w14:paraId="1C3514D3" w14:textId="77777777" w:rsidR="00E22DDC" w:rsidRDefault="00E22DDC" w:rsidP="00E22DDC">
      <w:pPr>
        <w:pStyle w:val="Doc-title"/>
        <w:numPr>
          <w:ilvl w:val="0"/>
          <w:numId w:val="23"/>
        </w:numPr>
      </w:pPr>
      <w:r>
        <w:t>R2-2212011</w:t>
      </w:r>
      <w:r>
        <w:tab/>
        <w:t>Further discussion on HARQ enhancements</w:t>
      </w:r>
      <w:r>
        <w:tab/>
        <w:t>ZTE Corporation, Sanechips</w:t>
      </w:r>
    </w:p>
    <w:p w14:paraId="3B6CAF28" w14:textId="77777777" w:rsidR="00E22DDC" w:rsidRDefault="00E22DDC" w:rsidP="00E22DDC">
      <w:pPr>
        <w:pStyle w:val="Doc-title"/>
        <w:numPr>
          <w:ilvl w:val="0"/>
          <w:numId w:val="23"/>
        </w:numPr>
      </w:pPr>
      <w:r>
        <w:t>R2-2212044</w:t>
      </w:r>
      <w:r>
        <w:tab/>
        <w:t>Further considerations on HARQ enhancements for IoT NTN</w:t>
      </w:r>
      <w:r>
        <w:tab/>
        <w:t>Lenovo</w:t>
      </w:r>
    </w:p>
    <w:p w14:paraId="53885677" w14:textId="77777777" w:rsidR="00E22DDC" w:rsidRDefault="00E22DDC" w:rsidP="00E22DDC">
      <w:pPr>
        <w:pStyle w:val="Doc-title"/>
        <w:numPr>
          <w:ilvl w:val="0"/>
          <w:numId w:val="23"/>
        </w:numPr>
      </w:pPr>
      <w:r>
        <w:t>R2-2212295</w:t>
      </w:r>
      <w:r>
        <w:tab/>
        <w:t>Disabling HARQ feedback for IoT-NTN</w:t>
      </w:r>
      <w:r>
        <w:tab/>
        <w:t>Interdigital, Inc.</w:t>
      </w:r>
    </w:p>
    <w:p w14:paraId="3069F144" w14:textId="77777777" w:rsidR="00E22DDC" w:rsidRDefault="00E22DDC" w:rsidP="00E22DDC">
      <w:pPr>
        <w:pStyle w:val="Doc-title"/>
        <w:numPr>
          <w:ilvl w:val="0"/>
          <w:numId w:val="23"/>
        </w:numPr>
      </w:pPr>
      <w:r>
        <w:t>R2-2212487</w:t>
      </w:r>
      <w:r>
        <w:tab/>
        <w:t>On HARQ enhancements for IoT NTN</w:t>
      </w:r>
      <w:r>
        <w:tab/>
        <w:t>Samsung R&amp;D Institute UK</w:t>
      </w:r>
    </w:p>
    <w:p w14:paraId="6B5995F7" w14:textId="77777777" w:rsidR="00E22DDC" w:rsidRDefault="00E22DDC" w:rsidP="00E22DDC">
      <w:pPr>
        <w:pStyle w:val="Doc-title"/>
        <w:numPr>
          <w:ilvl w:val="0"/>
          <w:numId w:val="23"/>
        </w:numPr>
      </w:pPr>
      <w:r>
        <w:t>R2-2212618</w:t>
      </w:r>
      <w:r>
        <w:tab/>
        <w:t>Discussion on the HARQ enhancement for IoT-NTN</w:t>
      </w:r>
      <w:r>
        <w:tab/>
        <w:t>CMCC</w:t>
      </w:r>
    </w:p>
    <w:p w14:paraId="66DB23E2" w14:textId="77777777" w:rsidR="00E22DDC" w:rsidRDefault="00E22DDC" w:rsidP="00E22DDC">
      <w:pPr>
        <w:pStyle w:val="Doc-title"/>
        <w:numPr>
          <w:ilvl w:val="0"/>
          <w:numId w:val="23"/>
        </w:numPr>
      </w:pPr>
      <w:r>
        <w:t>R2-2212726</w:t>
      </w:r>
      <w:r>
        <w:tab/>
        <w:t>Discussion on HARQ enhancements for IoT NTN</w:t>
      </w:r>
      <w:r>
        <w:tab/>
        <w:t>Nokia, Nokia Shanghai Bell</w:t>
      </w:r>
    </w:p>
    <w:p w14:paraId="7FFC7861" w14:textId="77777777" w:rsidR="00E22DDC" w:rsidRDefault="00E22DDC" w:rsidP="00E22DDC">
      <w:pPr>
        <w:pStyle w:val="Doc-title"/>
        <w:numPr>
          <w:ilvl w:val="0"/>
          <w:numId w:val="23"/>
        </w:numPr>
      </w:pPr>
      <w:r>
        <w:lastRenderedPageBreak/>
        <w:t>R2-2212806</w:t>
      </w:r>
      <w:r>
        <w:tab/>
        <w:t>Discussion on disabling of HARQ feedback</w:t>
      </w:r>
      <w:r>
        <w:tab/>
        <w:t>Xiaomi</w:t>
      </w:r>
    </w:p>
    <w:p w14:paraId="722EFDA9" w14:textId="13A314EE" w:rsidR="00F9174B" w:rsidRDefault="00E22DDC" w:rsidP="00E22DDC">
      <w:pPr>
        <w:pStyle w:val="Doc-title"/>
        <w:numPr>
          <w:ilvl w:val="0"/>
          <w:numId w:val="23"/>
        </w:numPr>
      </w:pPr>
      <w:r>
        <w:t>R2-2212954</w:t>
      </w:r>
      <w:r>
        <w:tab/>
        <w:t>R18 IoT NTN performance enhancement</w:t>
      </w:r>
      <w:r>
        <w:tab/>
        <w:t>Ericsson</w:t>
      </w:r>
      <w:r w:rsidR="00827744">
        <w:tab/>
      </w:r>
      <w:r w:rsidR="00827744">
        <w:tab/>
      </w:r>
    </w:p>
    <w:p w14:paraId="0FC632F0" w14:textId="11853DD2" w:rsidR="00F9174B" w:rsidRDefault="00F9174B">
      <w:pPr>
        <w:tabs>
          <w:tab w:val="left" w:pos="567"/>
        </w:tabs>
        <w:snapToGrid w:val="0"/>
        <w:rPr>
          <w:rFonts w:ascii="Arial" w:hAnsi="Arial" w:cs="Arial"/>
          <w:bCs/>
          <w:u w:val="single"/>
        </w:rPr>
      </w:pPr>
    </w:p>
    <w:p w14:paraId="2B9F707B" w14:textId="1C3BAA53" w:rsidR="00E22DDC" w:rsidRDefault="00E22DDC" w:rsidP="00E22DDC">
      <w:pPr>
        <w:tabs>
          <w:tab w:val="left" w:pos="567"/>
        </w:tabs>
        <w:snapToGrid w:val="0"/>
        <w:rPr>
          <w:rFonts w:ascii="Arial" w:hAnsi="Arial" w:cs="Arial"/>
          <w:bCs/>
          <w:u w:val="single"/>
        </w:rPr>
      </w:pPr>
      <w:r>
        <w:rPr>
          <w:rFonts w:ascii="Arial" w:hAnsi="Arial" w:cs="Arial"/>
          <w:bCs/>
          <w:u w:val="single"/>
        </w:rPr>
        <w:t>Submitted TDocs to AI 8.6.2.2</w:t>
      </w:r>
    </w:p>
    <w:p w14:paraId="3FA15750" w14:textId="54203738" w:rsidR="00E22DDC" w:rsidRDefault="00E22DDC" w:rsidP="00E22DDC">
      <w:pPr>
        <w:pStyle w:val="ListParagraph"/>
        <w:numPr>
          <w:ilvl w:val="0"/>
          <w:numId w:val="31"/>
        </w:numPr>
        <w:tabs>
          <w:tab w:val="left" w:pos="567"/>
        </w:tabs>
        <w:snapToGrid w:val="0"/>
        <w:ind w:leftChars="0"/>
        <w:rPr>
          <w:rFonts w:ascii="Arial" w:hAnsi="Arial" w:cs="Arial"/>
          <w:bCs/>
        </w:rPr>
      </w:pPr>
      <w:r w:rsidRPr="00E22DDC">
        <w:rPr>
          <w:rFonts w:ascii="Arial" w:hAnsi="Arial" w:cs="Arial"/>
          <w:bCs/>
        </w:rPr>
        <w:t>R2-2211347</w:t>
      </w:r>
      <w:r w:rsidRPr="00E22DDC">
        <w:rPr>
          <w:rFonts w:ascii="Arial" w:hAnsi="Arial" w:cs="Arial"/>
          <w:bCs/>
        </w:rPr>
        <w:tab/>
        <w:t>Discussion on GNSS operation in connected mode</w:t>
      </w:r>
      <w:r w:rsidRPr="00E22DDC">
        <w:rPr>
          <w:rFonts w:ascii="Arial" w:hAnsi="Arial" w:cs="Arial"/>
          <w:bCs/>
        </w:rPr>
        <w:tab/>
        <w:t>OPPO</w:t>
      </w:r>
    </w:p>
    <w:p w14:paraId="72F351C2" w14:textId="77777777" w:rsidR="00E22DDC" w:rsidRPr="00E22DDC" w:rsidRDefault="00E22DDC" w:rsidP="00E22DDC">
      <w:pPr>
        <w:pStyle w:val="ListParagraph"/>
        <w:tabs>
          <w:tab w:val="left" w:pos="567"/>
        </w:tabs>
        <w:snapToGrid w:val="0"/>
        <w:ind w:leftChars="0" w:left="720"/>
        <w:rPr>
          <w:rFonts w:ascii="Arial" w:hAnsi="Arial" w:cs="Arial"/>
          <w:bCs/>
        </w:rPr>
      </w:pPr>
    </w:p>
    <w:p w14:paraId="419CD304" w14:textId="77777777" w:rsidR="00F9174B" w:rsidRDefault="00827744">
      <w:pPr>
        <w:tabs>
          <w:tab w:val="left" w:pos="567"/>
        </w:tabs>
        <w:snapToGrid w:val="0"/>
        <w:rPr>
          <w:rFonts w:ascii="Arial" w:hAnsi="Arial" w:cs="Arial"/>
          <w:bCs/>
          <w:u w:val="single"/>
        </w:rPr>
      </w:pPr>
      <w:r>
        <w:rPr>
          <w:rFonts w:ascii="Arial" w:hAnsi="Arial" w:cs="Arial"/>
          <w:bCs/>
          <w:u w:val="single"/>
        </w:rPr>
        <w:t>Submitted TDocs to AI 8.6.3</w:t>
      </w:r>
    </w:p>
    <w:p w14:paraId="7ECB01D0" w14:textId="77777777" w:rsidR="00E22DDC" w:rsidRDefault="00E22DDC" w:rsidP="00E22DDC">
      <w:pPr>
        <w:pStyle w:val="Doc-title"/>
        <w:numPr>
          <w:ilvl w:val="0"/>
          <w:numId w:val="24"/>
        </w:numPr>
      </w:pPr>
      <w:r>
        <w:t>R2-2211347</w:t>
      </w:r>
      <w:r>
        <w:tab/>
        <w:t>Discussion on GNSS operation in connected mode</w:t>
      </w:r>
      <w:r>
        <w:tab/>
        <w:t>OPPO</w:t>
      </w:r>
    </w:p>
    <w:p w14:paraId="4D1194C1" w14:textId="77777777" w:rsidR="00E22DDC" w:rsidRDefault="00E22DDC" w:rsidP="00E22DDC">
      <w:pPr>
        <w:pStyle w:val="Doc-title"/>
        <w:numPr>
          <w:ilvl w:val="0"/>
          <w:numId w:val="24"/>
        </w:numPr>
      </w:pPr>
      <w:r>
        <w:t>R2-2212101</w:t>
      </w:r>
      <w:r>
        <w:tab/>
        <w:t>Analysis on mobility enhancements for IoT-NTN</w:t>
      </w:r>
      <w:r>
        <w:tab/>
        <w:t>Nokia, Nokia Shanghai Bell</w:t>
      </w:r>
    </w:p>
    <w:p w14:paraId="36848442" w14:textId="77777777" w:rsidR="00E22DDC" w:rsidRDefault="00E22DDC" w:rsidP="00E22DDC">
      <w:pPr>
        <w:pStyle w:val="Doc-title"/>
        <w:numPr>
          <w:ilvl w:val="0"/>
          <w:numId w:val="24"/>
        </w:numPr>
      </w:pPr>
      <w:r>
        <w:t>R2-2212102</w:t>
      </w:r>
      <w:r>
        <w:tab/>
        <w:t>Additional aspects for mobility enhancements for IoT-NTN</w:t>
      </w:r>
      <w:r>
        <w:tab/>
        <w:t>Nokia, Nokia Shanghai Bell</w:t>
      </w:r>
    </w:p>
    <w:p w14:paraId="14D2B125" w14:textId="77777777" w:rsidR="00E22DDC" w:rsidRDefault="00E22DDC" w:rsidP="00E22DDC">
      <w:pPr>
        <w:pStyle w:val="Doc-title"/>
        <w:numPr>
          <w:ilvl w:val="0"/>
          <w:numId w:val="24"/>
        </w:numPr>
      </w:pPr>
      <w:r>
        <w:t>R2-2212909</w:t>
      </w:r>
      <w:r>
        <w:tab/>
        <w:t>Discussion on Mobility Enhancements of IoT NTN</w:t>
      </w:r>
      <w:r>
        <w:tab/>
        <w:t>Turkcell</w:t>
      </w:r>
    </w:p>
    <w:p w14:paraId="16CA2ADC" w14:textId="77777777" w:rsidR="00E22DDC" w:rsidRPr="00E22DDC" w:rsidRDefault="00E22DDC" w:rsidP="00E22DDC">
      <w:pPr>
        <w:pStyle w:val="Doc-title"/>
        <w:numPr>
          <w:ilvl w:val="0"/>
          <w:numId w:val="24"/>
        </w:numPr>
        <w:rPr>
          <w:rFonts w:cs="Arial"/>
          <w:bCs/>
          <w:u w:val="single"/>
        </w:rPr>
      </w:pPr>
      <w:r>
        <w:t>R2-2212948</w:t>
      </w:r>
      <w:r>
        <w:tab/>
        <w:t>Conditional Handover in IoT NTN</w:t>
      </w:r>
      <w:r>
        <w:tab/>
        <w:t>Ericsson</w:t>
      </w:r>
    </w:p>
    <w:p w14:paraId="1305C61D" w14:textId="77777777" w:rsidR="00E22DDC" w:rsidRDefault="00E22DDC" w:rsidP="00E22DDC">
      <w:pPr>
        <w:pStyle w:val="Doc-title"/>
        <w:ind w:left="360" w:firstLine="0"/>
      </w:pPr>
    </w:p>
    <w:p w14:paraId="63476792" w14:textId="3B041EC6" w:rsidR="00E22DDC" w:rsidRDefault="00E22DDC" w:rsidP="00E22DDC">
      <w:pPr>
        <w:pStyle w:val="Doc-title"/>
        <w:rPr>
          <w:rFonts w:cs="Arial"/>
          <w:bCs/>
          <w:u w:val="single"/>
        </w:rPr>
      </w:pPr>
      <w:r>
        <w:rPr>
          <w:rFonts w:cs="Arial"/>
          <w:bCs/>
          <w:u w:val="single"/>
        </w:rPr>
        <w:t>Submitted TDocs to AI 8.6.3.1</w:t>
      </w:r>
    </w:p>
    <w:p w14:paraId="28FC0597" w14:textId="7FA4AD79" w:rsidR="00E22DDC" w:rsidRDefault="00E22DDC" w:rsidP="00E22DDC">
      <w:pPr>
        <w:pStyle w:val="Doc-text2"/>
        <w:ind w:left="0" w:firstLine="0"/>
      </w:pPr>
    </w:p>
    <w:p w14:paraId="4AE8F02E" w14:textId="77777777" w:rsidR="00E22DDC" w:rsidRDefault="00E22DDC" w:rsidP="00E22DDC">
      <w:pPr>
        <w:pStyle w:val="Doc-text2"/>
        <w:numPr>
          <w:ilvl w:val="0"/>
          <w:numId w:val="31"/>
        </w:numPr>
      </w:pPr>
      <w:r>
        <w:t>R2-2211289</w:t>
      </w:r>
      <w:r>
        <w:tab/>
        <w:t>On Mobility Enhancements in IoT-NTN</w:t>
      </w:r>
      <w:r>
        <w:tab/>
        <w:t>Mediatek Inc.</w:t>
      </w:r>
    </w:p>
    <w:p w14:paraId="6552F1D8" w14:textId="77777777" w:rsidR="00E22DDC" w:rsidRDefault="00E22DDC" w:rsidP="00E22DDC">
      <w:pPr>
        <w:pStyle w:val="Doc-text2"/>
        <w:numPr>
          <w:ilvl w:val="0"/>
          <w:numId w:val="31"/>
        </w:numPr>
      </w:pPr>
      <w:r>
        <w:t>R2-2211312</w:t>
      </w:r>
      <w:r>
        <w:tab/>
        <w:t>Enhancements for Neighbor Cell Measurements</w:t>
      </w:r>
      <w:r>
        <w:tab/>
        <w:t>CATT</w:t>
      </w:r>
    </w:p>
    <w:p w14:paraId="3A14E334" w14:textId="77777777" w:rsidR="00E22DDC" w:rsidRDefault="00E22DDC" w:rsidP="00E22DDC">
      <w:pPr>
        <w:pStyle w:val="Doc-text2"/>
        <w:numPr>
          <w:ilvl w:val="0"/>
          <w:numId w:val="31"/>
        </w:numPr>
      </w:pPr>
      <w:r>
        <w:t>R2-2211337</w:t>
      </w:r>
      <w:r>
        <w:tab/>
        <w:t>Discussion on measurement enhancement for IoT NTN</w:t>
      </w:r>
      <w:r>
        <w:tab/>
        <w:t>OPPO</w:t>
      </w:r>
    </w:p>
    <w:p w14:paraId="4E5D25C5" w14:textId="77777777" w:rsidR="00E22DDC" w:rsidRDefault="00E22DDC" w:rsidP="00E22DDC">
      <w:pPr>
        <w:pStyle w:val="Doc-text2"/>
        <w:numPr>
          <w:ilvl w:val="0"/>
          <w:numId w:val="31"/>
        </w:numPr>
      </w:pPr>
      <w:r>
        <w:t>R2-2211412</w:t>
      </w:r>
      <w:r>
        <w:tab/>
        <w:t>Discussion on neighbour cell measurements in IoT NTN</w:t>
      </w:r>
      <w:r>
        <w:tab/>
        <w:t>Intel Corporation</w:t>
      </w:r>
    </w:p>
    <w:p w14:paraId="667ED546" w14:textId="77777777" w:rsidR="00E22DDC" w:rsidRDefault="00E22DDC" w:rsidP="00E22DDC">
      <w:pPr>
        <w:pStyle w:val="Doc-text2"/>
        <w:numPr>
          <w:ilvl w:val="0"/>
          <w:numId w:val="31"/>
        </w:numPr>
      </w:pPr>
      <w:r>
        <w:t>R2-2211579</w:t>
      </w:r>
      <w:r>
        <w:tab/>
        <w:t>Connected mode measurement trigger</w:t>
      </w:r>
      <w:r>
        <w:tab/>
        <w:t>Qualcomm Incorporated</w:t>
      </w:r>
    </w:p>
    <w:p w14:paraId="2AC8CF0C" w14:textId="449F87DC" w:rsidR="00E22DDC" w:rsidRDefault="00E22DDC" w:rsidP="00E22DDC">
      <w:pPr>
        <w:pStyle w:val="Doc-text2"/>
        <w:numPr>
          <w:ilvl w:val="0"/>
          <w:numId w:val="31"/>
        </w:numPr>
      </w:pPr>
      <w:r>
        <w:t>R2-2211737</w:t>
      </w:r>
      <w:r>
        <w:tab/>
        <w:t>Neighbour cell measurements before RLF for NB-IoT</w:t>
      </w:r>
      <w:r>
        <w:tab/>
        <w:t>Apple</w:t>
      </w:r>
    </w:p>
    <w:p w14:paraId="372BE9F3" w14:textId="568B3352" w:rsidR="00E22DDC" w:rsidRDefault="00E22DDC" w:rsidP="00E22DDC">
      <w:pPr>
        <w:pStyle w:val="Doc-text2"/>
        <w:numPr>
          <w:ilvl w:val="0"/>
          <w:numId w:val="31"/>
        </w:numPr>
      </w:pPr>
      <w:r w:rsidRPr="00E22DDC">
        <w:t>R2-2211834</w:t>
      </w:r>
      <w:r w:rsidRPr="00E22DDC">
        <w:tab/>
        <w:t>Discussion on Enhancements for neighbour cell measurements</w:t>
      </w:r>
      <w:r w:rsidRPr="00E22DDC">
        <w:tab/>
        <w:t>Transsion Holdings</w:t>
      </w:r>
    </w:p>
    <w:p w14:paraId="353CAA8E" w14:textId="26F3C1FA" w:rsidR="00E22DDC" w:rsidRDefault="00E22DDC" w:rsidP="00E22DDC">
      <w:pPr>
        <w:pStyle w:val="Doc-text2"/>
        <w:numPr>
          <w:ilvl w:val="0"/>
          <w:numId w:val="31"/>
        </w:numPr>
      </w:pPr>
      <w:r w:rsidRPr="00E22DDC">
        <w:t>R2-2212012</w:t>
      </w:r>
      <w:r w:rsidRPr="00E22DDC">
        <w:tab/>
        <w:t>Discussion on enhancements for neighbor cell measurements</w:t>
      </w:r>
      <w:r w:rsidRPr="00E22DDC">
        <w:tab/>
        <w:t>ZTE Corporation, Sanechips</w:t>
      </w:r>
    </w:p>
    <w:p w14:paraId="70655EBF" w14:textId="3D1CA635" w:rsidR="00E22DDC" w:rsidRDefault="00E22DDC" w:rsidP="00E22DDC">
      <w:pPr>
        <w:pStyle w:val="Doc-text2"/>
        <w:numPr>
          <w:ilvl w:val="0"/>
          <w:numId w:val="31"/>
        </w:numPr>
      </w:pPr>
      <w:r w:rsidRPr="00E22DDC">
        <w:t>R2-2212045</w:t>
      </w:r>
      <w:r w:rsidRPr="00E22DDC">
        <w:tab/>
        <w:t>CONNECTED neighbour cell measurement for NB-IoT in NTN</w:t>
      </w:r>
      <w:r w:rsidRPr="00E22DDC">
        <w:tab/>
        <w:t>Lenovo</w:t>
      </w:r>
    </w:p>
    <w:p w14:paraId="0F2117E6" w14:textId="31465AFB" w:rsidR="00E22DDC" w:rsidRDefault="00E22DDC" w:rsidP="00E22DDC">
      <w:pPr>
        <w:pStyle w:val="Doc-text2"/>
        <w:numPr>
          <w:ilvl w:val="0"/>
          <w:numId w:val="31"/>
        </w:numPr>
      </w:pPr>
      <w:r w:rsidRPr="00E22DDC">
        <w:t>R2-2212077</w:t>
      </w:r>
      <w:r w:rsidRPr="00E22DDC">
        <w:tab/>
        <w:t>Consideration on enhancements for the neighbour cell measurement</w:t>
      </w:r>
      <w:r w:rsidRPr="00E22DDC">
        <w:tab/>
        <w:t>Xiaomi</w:t>
      </w:r>
    </w:p>
    <w:p w14:paraId="731D1144" w14:textId="05211979" w:rsidR="00E22DDC" w:rsidRDefault="00E22DDC" w:rsidP="00E22DDC">
      <w:pPr>
        <w:pStyle w:val="Doc-text2"/>
        <w:numPr>
          <w:ilvl w:val="0"/>
          <w:numId w:val="31"/>
        </w:numPr>
      </w:pPr>
      <w:r w:rsidRPr="00E22DDC">
        <w:t>R2-2212238</w:t>
      </w:r>
      <w:r w:rsidRPr="00E22DDC">
        <w:tab/>
        <w:t>Enhancements for neighbour cell measurements</w:t>
      </w:r>
      <w:r w:rsidRPr="00E22DDC">
        <w:tab/>
        <w:t>NEC</w:t>
      </w:r>
    </w:p>
    <w:p w14:paraId="61DAF3F2" w14:textId="733D2798" w:rsidR="00E22DDC" w:rsidRDefault="00E22DDC" w:rsidP="00E22DDC">
      <w:pPr>
        <w:pStyle w:val="Doc-text2"/>
        <w:numPr>
          <w:ilvl w:val="0"/>
          <w:numId w:val="31"/>
        </w:numPr>
      </w:pPr>
      <w:r w:rsidRPr="00E22DDC">
        <w:t>R2-2212296</w:t>
      </w:r>
      <w:r w:rsidRPr="00E22DDC">
        <w:tab/>
        <w:t>Neighbour cell measurements before RLF</w:t>
      </w:r>
      <w:r w:rsidRPr="00E22DDC">
        <w:tab/>
        <w:t>Interdigital, Inc.</w:t>
      </w:r>
    </w:p>
    <w:p w14:paraId="0C24E443" w14:textId="7D79B569" w:rsidR="00E22DDC" w:rsidRDefault="00E22DDC" w:rsidP="00E22DDC">
      <w:pPr>
        <w:pStyle w:val="Doc-text2"/>
        <w:numPr>
          <w:ilvl w:val="0"/>
          <w:numId w:val="31"/>
        </w:numPr>
      </w:pPr>
      <w:r w:rsidRPr="00E22DDC">
        <w:t>R2-2212486</w:t>
      </w:r>
      <w:r w:rsidRPr="00E22DDC">
        <w:tab/>
        <w:t>Connected mode mobility enhancements for IoT NTN</w:t>
      </w:r>
      <w:r w:rsidRPr="00E22DDC">
        <w:tab/>
        <w:t>Samsung R&amp;D Institute UK</w:t>
      </w:r>
    </w:p>
    <w:p w14:paraId="53750544" w14:textId="77777777" w:rsidR="00E22DDC" w:rsidRDefault="00E22DDC" w:rsidP="00E22DDC">
      <w:pPr>
        <w:pStyle w:val="Doc-text2"/>
        <w:numPr>
          <w:ilvl w:val="0"/>
          <w:numId w:val="31"/>
        </w:numPr>
      </w:pPr>
      <w:r>
        <w:t>R2-2212619</w:t>
      </w:r>
      <w:r>
        <w:tab/>
        <w:t>Discussion on enhancements for neighbour cell measurements</w:t>
      </w:r>
      <w:r>
        <w:tab/>
        <w:t>CMCC</w:t>
      </w:r>
    </w:p>
    <w:p w14:paraId="4B57D70C" w14:textId="77777777" w:rsidR="00E22DDC" w:rsidRDefault="00E22DDC" w:rsidP="00E22DDC">
      <w:pPr>
        <w:pStyle w:val="Doc-text2"/>
        <w:numPr>
          <w:ilvl w:val="0"/>
          <w:numId w:val="31"/>
        </w:numPr>
      </w:pPr>
      <w:r>
        <w:t>R2-2212778</w:t>
      </w:r>
      <w:r>
        <w:tab/>
        <w:t>Triggering neighbor cell measurements prior to RLF</w:t>
      </w:r>
      <w:r>
        <w:tab/>
        <w:t>Ericsson</w:t>
      </w:r>
    </w:p>
    <w:p w14:paraId="6BA00AD1" w14:textId="03E1BCEE" w:rsidR="00E22DDC" w:rsidRDefault="00E22DDC" w:rsidP="00E22DDC">
      <w:pPr>
        <w:pStyle w:val="Doc-text2"/>
        <w:numPr>
          <w:ilvl w:val="0"/>
          <w:numId w:val="31"/>
        </w:numPr>
      </w:pPr>
      <w:r>
        <w:t>R2-2212828</w:t>
      </w:r>
      <w:r>
        <w:tab/>
        <w:t>Discussion on neighbour cell measurements</w:t>
      </w:r>
      <w:r>
        <w:tab/>
        <w:t>Huawei, HiSilicon</w:t>
      </w:r>
    </w:p>
    <w:p w14:paraId="1164D4B7" w14:textId="77777777" w:rsidR="00E22DDC" w:rsidRDefault="00E22DDC" w:rsidP="00E22DDC">
      <w:pPr>
        <w:pStyle w:val="Doc-title"/>
        <w:ind w:left="360" w:firstLine="0"/>
      </w:pPr>
    </w:p>
    <w:p w14:paraId="64412B26" w14:textId="1BB85EBE" w:rsidR="00E22DDC" w:rsidRDefault="00E22DDC" w:rsidP="00E22DDC">
      <w:pPr>
        <w:pStyle w:val="Doc-title"/>
        <w:rPr>
          <w:rFonts w:cs="Arial"/>
          <w:bCs/>
          <w:u w:val="single"/>
        </w:rPr>
      </w:pPr>
      <w:r>
        <w:rPr>
          <w:rFonts w:cs="Arial"/>
          <w:bCs/>
          <w:u w:val="single"/>
        </w:rPr>
        <w:t>Submitted TDocs to AI 8.6.3.2</w:t>
      </w:r>
    </w:p>
    <w:p w14:paraId="47C983CE" w14:textId="1B234F72" w:rsidR="00F9174B" w:rsidRDefault="00F9174B">
      <w:pPr>
        <w:tabs>
          <w:tab w:val="left" w:pos="567"/>
        </w:tabs>
        <w:snapToGrid w:val="0"/>
        <w:rPr>
          <w:rFonts w:ascii="Arial" w:hAnsi="Arial" w:cs="Arial"/>
          <w:bCs/>
          <w:u w:val="single"/>
        </w:rPr>
      </w:pPr>
    </w:p>
    <w:p w14:paraId="1380DC35"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R2-2211313</w:t>
      </w:r>
      <w:r w:rsidRPr="00E22DDC">
        <w:rPr>
          <w:rFonts w:ascii="Arial" w:hAnsi="Arial" w:cs="Arial"/>
          <w:bCs/>
          <w:sz w:val="20"/>
          <w:szCs w:val="20"/>
        </w:rPr>
        <w:tab/>
        <w:t>Discussion on Location Based CHO Mechanism</w:t>
      </w:r>
      <w:r w:rsidRPr="00E22DDC">
        <w:rPr>
          <w:rFonts w:ascii="Arial" w:hAnsi="Arial" w:cs="Arial"/>
          <w:bCs/>
          <w:sz w:val="20"/>
          <w:szCs w:val="20"/>
        </w:rPr>
        <w:tab/>
        <w:t>CATT</w:t>
      </w:r>
    </w:p>
    <w:p w14:paraId="518CA017"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R2-2211580</w:t>
      </w:r>
      <w:r w:rsidRPr="00E22DDC">
        <w:rPr>
          <w:rFonts w:ascii="Arial" w:hAnsi="Arial" w:cs="Arial"/>
          <w:bCs/>
          <w:sz w:val="20"/>
          <w:szCs w:val="20"/>
        </w:rPr>
        <w:tab/>
        <w:t>RLF detection in earth fixed cell</w:t>
      </w:r>
      <w:r w:rsidRPr="00E22DDC">
        <w:rPr>
          <w:rFonts w:ascii="Arial" w:hAnsi="Arial" w:cs="Arial"/>
          <w:bCs/>
          <w:sz w:val="20"/>
          <w:szCs w:val="20"/>
        </w:rPr>
        <w:tab/>
        <w:t>Qualcomm Incorporated</w:t>
      </w:r>
    </w:p>
    <w:p w14:paraId="1AE66D19"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R2-2212013</w:t>
      </w:r>
      <w:r w:rsidRPr="00E22DDC">
        <w:rPr>
          <w:rFonts w:ascii="Arial" w:hAnsi="Arial" w:cs="Arial"/>
          <w:bCs/>
          <w:sz w:val="20"/>
          <w:szCs w:val="20"/>
        </w:rPr>
        <w:tab/>
        <w:t>Discussion on mobility enhancements for eMTC NTN</w:t>
      </w:r>
      <w:r w:rsidRPr="00E22DDC">
        <w:rPr>
          <w:rFonts w:ascii="Arial" w:hAnsi="Arial" w:cs="Arial"/>
          <w:bCs/>
          <w:sz w:val="20"/>
          <w:szCs w:val="20"/>
        </w:rPr>
        <w:tab/>
        <w:t>ZTE Corporation, Sanechips</w:t>
      </w:r>
    </w:p>
    <w:p w14:paraId="14F40A49"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R2-2212046</w:t>
      </w:r>
      <w:r w:rsidRPr="00E22DDC">
        <w:rPr>
          <w:rFonts w:ascii="Arial" w:hAnsi="Arial" w:cs="Arial"/>
          <w:bCs/>
          <w:sz w:val="20"/>
          <w:szCs w:val="20"/>
        </w:rPr>
        <w:tab/>
        <w:t>IDLE mobility for IoT NTN</w:t>
      </w:r>
      <w:r w:rsidRPr="00E22DDC">
        <w:rPr>
          <w:rFonts w:ascii="Arial" w:hAnsi="Arial" w:cs="Arial"/>
          <w:bCs/>
          <w:sz w:val="20"/>
          <w:szCs w:val="20"/>
        </w:rPr>
        <w:tab/>
        <w:t>Lenovo</w:t>
      </w:r>
    </w:p>
    <w:p w14:paraId="713B60D1"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R2-2212168</w:t>
      </w:r>
      <w:r w:rsidRPr="00E22DDC">
        <w:rPr>
          <w:rFonts w:ascii="Arial" w:hAnsi="Arial" w:cs="Arial"/>
          <w:bCs/>
          <w:sz w:val="20"/>
          <w:szCs w:val="20"/>
        </w:rPr>
        <w:tab/>
        <w:t>Discussion on mobility enhancement in IoT-NTN</w:t>
      </w:r>
      <w:r w:rsidRPr="00E22DDC">
        <w:rPr>
          <w:rFonts w:ascii="Arial" w:hAnsi="Arial" w:cs="Arial"/>
          <w:bCs/>
          <w:sz w:val="20"/>
          <w:szCs w:val="20"/>
        </w:rPr>
        <w:tab/>
        <w:t>Spreadtrum Communications</w:t>
      </w:r>
    </w:p>
    <w:p w14:paraId="0DFE2B03"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R2-2212239</w:t>
      </w:r>
      <w:r w:rsidRPr="00E22DDC">
        <w:rPr>
          <w:rFonts w:ascii="Arial" w:hAnsi="Arial" w:cs="Arial"/>
          <w:bCs/>
          <w:sz w:val="20"/>
          <w:szCs w:val="20"/>
        </w:rPr>
        <w:tab/>
        <w:t>CHO and Measurement enhancement for eMTC</w:t>
      </w:r>
      <w:r w:rsidRPr="00E22DDC">
        <w:rPr>
          <w:rFonts w:ascii="Arial" w:hAnsi="Arial" w:cs="Arial"/>
          <w:bCs/>
          <w:sz w:val="20"/>
          <w:szCs w:val="20"/>
        </w:rPr>
        <w:tab/>
        <w:t>NEC</w:t>
      </w:r>
    </w:p>
    <w:p w14:paraId="6AC4D9F2"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R2-2212241</w:t>
      </w:r>
      <w:r w:rsidRPr="00E22DDC">
        <w:rPr>
          <w:rFonts w:ascii="Arial" w:hAnsi="Arial" w:cs="Arial"/>
          <w:bCs/>
          <w:sz w:val="20"/>
          <w:szCs w:val="20"/>
        </w:rPr>
        <w:tab/>
        <w:t>Idle mode Mobility Enhancement for IoT NTN</w:t>
      </w:r>
      <w:r w:rsidRPr="00E22DDC">
        <w:rPr>
          <w:rFonts w:ascii="Arial" w:hAnsi="Arial" w:cs="Arial"/>
          <w:bCs/>
          <w:sz w:val="20"/>
          <w:szCs w:val="20"/>
        </w:rPr>
        <w:tab/>
        <w:t>Samsung Electronics Nordic AB</w:t>
      </w:r>
    </w:p>
    <w:p w14:paraId="1CE9FA2C" w14:textId="77777777"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R2-2212297</w:t>
      </w:r>
      <w:r w:rsidRPr="00E22DDC">
        <w:rPr>
          <w:rFonts w:ascii="Arial" w:hAnsi="Arial" w:cs="Arial"/>
          <w:bCs/>
          <w:sz w:val="20"/>
          <w:szCs w:val="20"/>
        </w:rPr>
        <w:tab/>
        <w:t>Other IoT-NTN mobility enhancements</w:t>
      </w:r>
      <w:r w:rsidRPr="00E22DDC">
        <w:rPr>
          <w:rFonts w:ascii="Arial" w:hAnsi="Arial" w:cs="Arial"/>
          <w:bCs/>
          <w:sz w:val="20"/>
          <w:szCs w:val="20"/>
        </w:rPr>
        <w:tab/>
        <w:t>Interdigital, Inc.</w:t>
      </w:r>
    </w:p>
    <w:p w14:paraId="34AB8B53" w14:textId="572F3B21" w:rsidR="00E22DDC" w:rsidRPr="00E22DDC" w:rsidRDefault="00E22DDC" w:rsidP="00E22DDC">
      <w:pPr>
        <w:pStyle w:val="ListParagraph"/>
        <w:numPr>
          <w:ilvl w:val="0"/>
          <w:numId w:val="32"/>
        </w:numPr>
        <w:tabs>
          <w:tab w:val="left" w:pos="567"/>
        </w:tabs>
        <w:snapToGrid w:val="0"/>
        <w:ind w:leftChars="0"/>
        <w:rPr>
          <w:rFonts w:ascii="Arial" w:hAnsi="Arial" w:cs="Arial"/>
          <w:bCs/>
          <w:sz w:val="20"/>
          <w:szCs w:val="20"/>
        </w:rPr>
      </w:pPr>
      <w:r w:rsidRPr="00E22DDC">
        <w:rPr>
          <w:rFonts w:ascii="Arial" w:hAnsi="Arial" w:cs="Arial"/>
          <w:bCs/>
          <w:sz w:val="20"/>
          <w:szCs w:val="20"/>
        </w:rPr>
        <w:t>R2-2212829</w:t>
      </w:r>
      <w:r w:rsidRPr="00E22DDC">
        <w:rPr>
          <w:rFonts w:ascii="Arial" w:hAnsi="Arial" w:cs="Arial"/>
          <w:bCs/>
          <w:sz w:val="20"/>
          <w:szCs w:val="20"/>
        </w:rPr>
        <w:tab/>
        <w:t>Discussion on CHO enhancements</w:t>
      </w:r>
      <w:r w:rsidRPr="00E22DDC">
        <w:rPr>
          <w:rFonts w:ascii="Arial" w:hAnsi="Arial" w:cs="Arial"/>
          <w:bCs/>
          <w:sz w:val="20"/>
          <w:szCs w:val="20"/>
        </w:rPr>
        <w:tab/>
        <w:t>Huawei, HiSilicon</w:t>
      </w:r>
    </w:p>
    <w:p w14:paraId="6AB55C5D" w14:textId="77777777" w:rsidR="00E22DDC" w:rsidRDefault="00E22DDC">
      <w:pPr>
        <w:tabs>
          <w:tab w:val="left" w:pos="567"/>
        </w:tabs>
        <w:snapToGrid w:val="0"/>
        <w:rPr>
          <w:rFonts w:ascii="Arial" w:hAnsi="Arial" w:cs="Arial"/>
          <w:bCs/>
          <w:u w:val="single"/>
        </w:rPr>
      </w:pPr>
    </w:p>
    <w:p w14:paraId="18D24A35" w14:textId="77777777" w:rsidR="00F9174B" w:rsidRDefault="00827744">
      <w:pPr>
        <w:tabs>
          <w:tab w:val="left" w:pos="567"/>
        </w:tabs>
        <w:snapToGrid w:val="0"/>
        <w:rPr>
          <w:rFonts w:ascii="Arial" w:hAnsi="Arial" w:cs="Arial"/>
          <w:bCs/>
        </w:rPr>
      </w:pPr>
      <w:r>
        <w:rPr>
          <w:rFonts w:ascii="Arial" w:hAnsi="Arial" w:cs="Arial"/>
          <w:bCs/>
          <w:u w:val="single"/>
        </w:rPr>
        <w:t>Submitted TDocs to AI 8.6.4</w:t>
      </w:r>
    </w:p>
    <w:p w14:paraId="5315DE9C" w14:textId="77777777" w:rsidR="00316D46" w:rsidRDefault="00E22DDC">
      <w:pPr>
        <w:pStyle w:val="Doc-title"/>
        <w:numPr>
          <w:ilvl w:val="0"/>
          <w:numId w:val="25"/>
        </w:numPr>
      </w:pPr>
      <w:r w:rsidRPr="00E22DDC">
        <w:t>R2-2211290</w:t>
      </w:r>
      <w:r w:rsidRPr="00E22DDC">
        <w:tab/>
        <w:t>On Enhancements to discontinuous coverage</w:t>
      </w:r>
      <w:r w:rsidRPr="00E22DDC">
        <w:tab/>
        <w:t>Mediatek Inc.</w:t>
      </w:r>
    </w:p>
    <w:p w14:paraId="0751639B" w14:textId="77777777" w:rsidR="00D10DBF" w:rsidRDefault="00D10DBF" w:rsidP="00A429FE">
      <w:pPr>
        <w:tabs>
          <w:tab w:val="left" w:pos="567"/>
        </w:tabs>
        <w:snapToGrid w:val="0"/>
        <w:rPr>
          <w:rFonts w:ascii="Arial" w:hAnsi="Arial" w:cs="Arial"/>
          <w:b/>
          <w:lang w:eastAsia="en-US"/>
        </w:rPr>
      </w:pPr>
    </w:p>
    <w:p w14:paraId="41EC3B59" w14:textId="5D7FB50C" w:rsidR="00A429FE" w:rsidRPr="00A429FE" w:rsidRDefault="00A429FE" w:rsidP="00A429FE">
      <w:pPr>
        <w:tabs>
          <w:tab w:val="left" w:pos="567"/>
        </w:tabs>
        <w:snapToGrid w:val="0"/>
        <w:rPr>
          <w:rFonts w:ascii="Arial" w:hAnsi="Arial" w:cs="Arial"/>
          <w:bCs/>
          <w:u w:val="single"/>
        </w:rPr>
      </w:pPr>
      <w:r w:rsidRPr="00A429FE">
        <w:rPr>
          <w:rFonts w:ascii="Arial" w:hAnsi="Arial" w:cs="Arial"/>
          <w:b/>
          <w:lang w:eastAsia="en-US"/>
        </w:rPr>
        <w:t xml:space="preserve">RAN2 </w:t>
      </w:r>
      <w:r w:rsidRPr="00316D46">
        <w:rPr>
          <w:rFonts w:ascii="Arial" w:hAnsi="Arial" w:cs="Arial"/>
          <w:b/>
          <w:lang w:eastAsia="en-US"/>
        </w:rPr>
        <w:t xml:space="preserve">#119b-e, </w:t>
      </w:r>
      <w:r>
        <w:rPr>
          <w:rFonts w:ascii="Arial" w:hAnsi="Arial" w:cs="Arial"/>
          <w:b/>
          <w:lang w:eastAsia="en-US"/>
        </w:rPr>
        <w:t>October 10th – 19th, 2022</w:t>
      </w:r>
      <w:r w:rsidRPr="00316D46">
        <w:rPr>
          <w:rFonts w:ascii="Arial" w:hAnsi="Arial" w:cs="Arial"/>
          <w:b/>
          <w:lang w:eastAsia="en-US"/>
        </w:rPr>
        <w:t>, e-meeting</w:t>
      </w:r>
    </w:p>
    <w:p w14:paraId="09A17700" w14:textId="7A78732B" w:rsidR="00316D46" w:rsidRDefault="00316D46" w:rsidP="00316D46">
      <w:pPr>
        <w:pStyle w:val="Doc-title"/>
        <w:ind w:left="0" w:firstLine="0"/>
        <w:rPr>
          <w:rFonts w:cs="Arial"/>
          <w:bCs/>
          <w:u w:val="single"/>
        </w:rPr>
      </w:pPr>
      <w:r>
        <w:rPr>
          <w:rFonts w:cs="Arial"/>
          <w:bCs/>
          <w:u w:val="single"/>
        </w:rPr>
        <w:t>Submitted TDocs to AI 8.6.1</w:t>
      </w:r>
    </w:p>
    <w:p w14:paraId="1C4EFA27" w14:textId="77777777" w:rsidR="00CB6059" w:rsidRDefault="00CB6059" w:rsidP="00CB6059">
      <w:pPr>
        <w:pStyle w:val="Doc-text2"/>
        <w:ind w:left="0" w:firstLine="0"/>
      </w:pPr>
    </w:p>
    <w:p w14:paraId="2B51FC63" w14:textId="034C2C5F" w:rsidR="00CB6059" w:rsidRDefault="00CB6059" w:rsidP="00CB6059">
      <w:pPr>
        <w:pStyle w:val="Doc-text2"/>
        <w:ind w:left="0" w:firstLine="0"/>
      </w:pPr>
      <w:r>
        <w:t>R2-2210368</w:t>
      </w:r>
      <w:r>
        <w:tab/>
        <w:t>List of RAN2 Agreements in IoT-NTN</w:t>
      </w:r>
      <w:r>
        <w:tab/>
        <w:t>MediaTek Inc.</w:t>
      </w:r>
    </w:p>
    <w:p w14:paraId="47BEEC8A" w14:textId="77777777" w:rsidR="00316D46" w:rsidRDefault="00316D46" w:rsidP="00316D46">
      <w:pPr>
        <w:tabs>
          <w:tab w:val="left" w:pos="567"/>
        </w:tabs>
        <w:snapToGrid w:val="0"/>
        <w:rPr>
          <w:rFonts w:ascii="Arial" w:hAnsi="Arial" w:cs="Arial"/>
          <w:bCs/>
          <w:u w:val="single"/>
        </w:rPr>
      </w:pPr>
    </w:p>
    <w:p w14:paraId="12E0F80E" w14:textId="1EAC0169" w:rsidR="00316D46" w:rsidRDefault="00316D46" w:rsidP="00316D46">
      <w:pPr>
        <w:tabs>
          <w:tab w:val="left" w:pos="567"/>
        </w:tabs>
        <w:snapToGrid w:val="0"/>
        <w:rPr>
          <w:rFonts w:ascii="Arial" w:hAnsi="Arial" w:cs="Arial"/>
          <w:bCs/>
          <w:u w:val="single"/>
        </w:rPr>
      </w:pPr>
      <w:r>
        <w:rPr>
          <w:rFonts w:ascii="Arial" w:hAnsi="Arial" w:cs="Arial"/>
          <w:bCs/>
          <w:u w:val="single"/>
        </w:rPr>
        <w:lastRenderedPageBreak/>
        <w:t>Submitted TDocs to AI 8.6.2.1</w:t>
      </w:r>
    </w:p>
    <w:p w14:paraId="2FE6F3E9" w14:textId="77777777" w:rsidR="00CB6059" w:rsidRDefault="00CB6059" w:rsidP="00CB6059">
      <w:pPr>
        <w:pStyle w:val="Doc-text2"/>
        <w:ind w:left="0" w:firstLine="0"/>
      </w:pPr>
      <w:r>
        <w:t>R2-2209410</w:t>
      </w:r>
      <w:r>
        <w:tab/>
        <w:t>Discussion on the HARQ disabling in IoT NTN</w:t>
      </w:r>
      <w:r>
        <w:tab/>
        <w:t>CATT</w:t>
      </w:r>
    </w:p>
    <w:p w14:paraId="4A27EC9D" w14:textId="77777777" w:rsidR="00CB6059" w:rsidRDefault="00CB6059" w:rsidP="00CB6059">
      <w:pPr>
        <w:pStyle w:val="Doc-text2"/>
        <w:ind w:left="0" w:firstLine="0"/>
      </w:pPr>
      <w:r>
        <w:t>R2-2209442</w:t>
      </w:r>
      <w:r>
        <w:tab/>
        <w:t>Discussion on disabling HARQ Feedback in IoT-NTN</w:t>
      </w:r>
      <w:r>
        <w:tab/>
        <w:t>MediaTek Inc.</w:t>
      </w:r>
    </w:p>
    <w:p w14:paraId="78AD1AFF" w14:textId="77777777" w:rsidR="00CB6059" w:rsidRDefault="00CB6059" w:rsidP="00CB6059">
      <w:pPr>
        <w:pStyle w:val="Doc-text2"/>
        <w:ind w:left="0" w:firstLine="0"/>
      </w:pPr>
      <w:r>
        <w:t>R2-2209666</w:t>
      </w:r>
      <w:r>
        <w:tab/>
        <w:t>Discussion on disabling DL HARQ feedback</w:t>
      </w:r>
      <w:r>
        <w:tab/>
        <w:t>Huawei, HiSilicon</w:t>
      </w:r>
    </w:p>
    <w:p w14:paraId="23F1B248" w14:textId="77777777" w:rsidR="00CB6059" w:rsidRDefault="00CB6059" w:rsidP="00CB6059">
      <w:pPr>
        <w:pStyle w:val="Doc-text2"/>
        <w:ind w:left="0" w:firstLine="0"/>
      </w:pPr>
      <w:r>
        <w:t>R2-2209717</w:t>
      </w:r>
      <w:r>
        <w:tab/>
        <w:t>Enhancement for UL and DL HARQ processes</w:t>
      </w:r>
      <w:r>
        <w:tab/>
        <w:t>Qualcomm Incorporated</w:t>
      </w:r>
    </w:p>
    <w:p w14:paraId="0A514190" w14:textId="77777777" w:rsidR="00CB6059" w:rsidRDefault="00CB6059" w:rsidP="00CB6059">
      <w:pPr>
        <w:pStyle w:val="Doc-text2"/>
        <w:ind w:left="0" w:firstLine="0"/>
      </w:pPr>
      <w:r>
        <w:t>R2-2209750</w:t>
      </w:r>
      <w:r>
        <w:tab/>
        <w:t>Discussion on performance enhancement for IoT NTN</w:t>
      </w:r>
      <w:r>
        <w:tab/>
        <w:t>Transsion Holdings</w:t>
      </w:r>
    </w:p>
    <w:p w14:paraId="6A4CD6C6" w14:textId="77777777" w:rsidR="00CB6059" w:rsidRDefault="00CB6059" w:rsidP="00CB6059">
      <w:pPr>
        <w:pStyle w:val="Doc-text2"/>
        <w:ind w:left="0" w:firstLine="0"/>
      </w:pPr>
      <w:r>
        <w:t>R2-2209834</w:t>
      </w:r>
      <w:r>
        <w:tab/>
        <w:t>Further discussion on HARQ enhancements</w:t>
      </w:r>
      <w:r>
        <w:tab/>
        <w:t>ZTE Corporation, Sanechips</w:t>
      </w:r>
    </w:p>
    <w:p w14:paraId="20D8633E" w14:textId="77777777" w:rsidR="00CB6059" w:rsidRDefault="00CB6059" w:rsidP="00CB6059">
      <w:pPr>
        <w:pStyle w:val="Doc-text2"/>
        <w:ind w:left="0" w:firstLine="0"/>
      </w:pPr>
      <w:r>
        <w:t>R2-2210036</w:t>
      </w:r>
      <w:r>
        <w:tab/>
        <w:t>Discussion on disabling of HARQ feedback</w:t>
      </w:r>
      <w:r>
        <w:tab/>
        <w:t>Xiaomi</w:t>
      </w:r>
    </w:p>
    <w:p w14:paraId="2863F7EC" w14:textId="77777777" w:rsidR="00CB6059" w:rsidRDefault="00CB6059" w:rsidP="00CB6059">
      <w:pPr>
        <w:pStyle w:val="Doc-text2"/>
        <w:ind w:left="0" w:firstLine="0"/>
      </w:pPr>
      <w:r>
        <w:t>R2-2210088</w:t>
      </w:r>
      <w:r>
        <w:tab/>
        <w:t>Discussion on HARQ enhancement for IoT NTN</w:t>
      </w:r>
      <w:r>
        <w:tab/>
        <w:t>OPPO</w:t>
      </w:r>
    </w:p>
    <w:p w14:paraId="1E2AEDA1" w14:textId="77777777" w:rsidR="00CB6059" w:rsidRDefault="00CB6059" w:rsidP="00CB6059">
      <w:pPr>
        <w:pStyle w:val="Doc-text2"/>
        <w:ind w:left="0" w:firstLine="0"/>
      </w:pPr>
      <w:r>
        <w:t>R2-2210152</w:t>
      </w:r>
      <w:r>
        <w:tab/>
        <w:t>Discussion on the HARQ enhancement for IoT-NTN</w:t>
      </w:r>
      <w:r>
        <w:tab/>
        <w:t>CMCC</w:t>
      </w:r>
    </w:p>
    <w:p w14:paraId="6FEB0B9B" w14:textId="77777777" w:rsidR="00CB6059" w:rsidRDefault="00CB6059" w:rsidP="00CB6059">
      <w:pPr>
        <w:pStyle w:val="Doc-text2"/>
        <w:ind w:left="0" w:firstLine="0"/>
      </w:pPr>
      <w:r>
        <w:t>R2-2210195</w:t>
      </w:r>
      <w:r>
        <w:tab/>
        <w:t>Disabling HARQ feedback for IoT-NTN</w:t>
      </w:r>
      <w:r>
        <w:tab/>
        <w:t>Interdigital, Inc.</w:t>
      </w:r>
    </w:p>
    <w:p w14:paraId="74032329" w14:textId="77777777" w:rsidR="00CB6059" w:rsidRDefault="00CB6059" w:rsidP="00CB6059">
      <w:pPr>
        <w:pStyle w:val="Doc-text2"/>
        <w:ind w:left="0" w:firstLine="0"/>
      </w:pPr>
      <w:r>
        <w:t>R2-2210643</w:t>
      </w:r>
      <w:r>
        <w:tab/>
        <w:t>On HARQ enhancements for IoT NTN</w:t>
      </w:r>
      <w:r>
        <w:tab/>
        <w:t>Nokia, Nokia Shanghai Bell</w:t>
      </w:r>
    </w:p>
    <w:p w14:paraId="3768D73A" w14:textId="77777777" w:rsidR="00CB6059" w:rsidRDefault="00CB6059" w:rsidP="00CB6059">
      <w:pPr>
        <w:pStyle w:val="Doc-text2"/>
        <w:ind w:left="0" w:firstLine="0"/>
      </w:pPr>
      <w:r>
        <w:t>R2-2210702</w:t>
      </w:r>
      <w:r>
        <w:tab/>
        <w:t>On HARQ enhancements for IoT NTN</w:t>
      </w:r>
      <w:r>
        <w:tab/>
        <w:t>Samsung R&amp;D Institute UK</w:t>
      </w:r>
    </w:p>
    <w:p w14:paraId="4C15A54F" w14:textId="43A0B99D" w:rsidR="00CB6059" w:rsidRDefault="00CB6059" w:rsidP="00CB6059">
      <w:pPr>
        <w:pStyle w:val="Doc-text2"/>
        <w:ind w:left="0" w:firstLine="0"/>
      </w:pPr>
      <w:r>
        <w:t>R2-2210761</w:t>
      </w:r>
      <w:r>
        <w:tab/>
        <w:t>R18 IoT NTN performance enhancement</w:t>
      </w:r>
      <w:r>
        <w:tab/>
        <w:t>Ericsson</w:t>
      </w:r>
    </w:p>
    <w:p w14:paraId="07FD99A0" w14:textId="2652F50A" w:rsidR="00CB6059" w:rsidRDefault="00CB6059" w:rsidP="00CB6059">
      <w:pPr>
        <w:pStyle w:val="Doc-text2"/>
        <w:ind w:left="0" w:firstLine="0"/>
      </w:pPr>
      <w:r w:rsidRPr="00CB6059">
        <w:t>R2-2210863</w:t>
      </w:r>
      <w:r w:rsidRPr="00CB6059">
        <w:tab/>
        <w:t>Report for [AT119bis-e][120][IoT NTN Enh] HARQ enhancements (CMCC)</w:t>
      </w:r>
      <w:r w:rsidRPr="00CB6059">
        <w:tab/>
        <w:t>CMCC</w:t>
      </w:r>
    </w:p>
    <w:p w14:paraId="461E48F0" w14:textId="33C5BAEC" w:rsidR="00316D46" w:rsidRDefault="00316D46" w:rsidP="00CB6059">
      <w:pPr>
        <w:pStyle w:val="Doc-text2"/>
        <w:ind w:left="1259" w:firstLine="0"/>
      </w:pPr>
    </w:p>
    <w:p w14:paraId="2E94722D" w14:textId="77777777" w:rsidR="00CB6059" w:rsidRDefault="00CB6059" w:rsidP="00316D46">
      <w:pPr>
        <w:pStyle w:val="Doc-text2"/>
      </w:pPr>
    </w:p>
    <w:p w14:paraId="61047E19" w14:textId="02B647ED" w:rsidR="00316D46" w:rsidRDefault="00316D46" w:rsidP="00316D46">
      <w:pPr>
        <w:tabs>
          <w:tab w:val="left" w:pos="567"/>
        </w:tabs>
        <w:snapToGrid w:val="0"/>
        <w:rPr>
          <w:rFonts w:ascii="Arial" w:hAnsi="Arial" w:cs="Arial"/>
          <w:bCs/>
          <w:u w:val="single"/>
        </w:rPr>
      </w:pPr>
      <w:r>
        <w:rPr>
          <w:rFonts w:ascii="Arial" w:hAnsi="Arial" w:cs="Arial"/>
          <w:bCs/>
          <w:u w:val="single"/>
        </w:rPr>
        <w:t>Submitted TDocs to AI 8.6.2.2</w:t>
      </w:r>
    </w:p>
    <w:p w14:paraId="6A2DE17A" w14:textId="0A881E20" w:rsidR="00CB6059" w:rsidRPr="00CB6059" w:rsidRDefault="00CB6059" w:rsidP="00CB6059">
      <w:pPr>
        <w:tabs>
          <w:tab w:val="left" w:pos="567"/>
        </w:tabs>
        <w:snapToGrid w:val="0"/>
        <w:rPr>
          <w:rFonts w:ascii="Arial" w:hAnsi="Arial" w:cs="Arial"/>
          <w:bCs/>
        </w:rPr>
      </w:pPr>
      <w:r w:rsidRPr="00CB6059">
        <w:rPr>
          <w:rFonts w:ascii="Arial" w:hAnsi="Arial" w:cs="Arial"/>
          <w:bCs/>
        </w:rPr>
        <w:t>R2-2209409</w:t>
      </w:r>
      <w:r>
        <w:rPr>
          <w:rFonts w:ascii="Arial" w:hAnsi="Arial" w:cs="Arial"/>
          <w:bCs/>
        </w:rPr>
        <w:tab/>
      </w:r>
      <w:r>
        <w:rPr>
          <w:rFonts w:ascii="Arial" w:hAnsi="Arial" w:cs="Arial"/>
          <w:bCs/>
        </w:rPr>
        <w:tab/>
      </w:r>
      <w:r w:rsidRPr="00CB6059">
        <w:rPr>
          <w:rFonts w:ascii="Arial" w:hAnsi="Arial" w:cs="Arial"/>
          <w:bCs/>
        </w:rPr>
        <w:t>Discussion on the issues of GNSS operation in connected mode</w:t>
      </w:r>
      <w:r w:rsidRPr="00CB6059">
        <w:rPr>
          <w:rFonts w:ascii="Arial" w:hAnsi="Arial" w:cs="Arial"/>
          <w:bCs/>
        </w:rPr>
        <w:tab/>
        <w:t>CATT</w:t>
      </w:r>
    </w:p>
    <w:p w14:paraId="7D2FE779" w14:textId="44C9BD50" w:rsidR="00CB6059" w:rsidRPr="00CB6059" w:rsidRDefault="00CB6059" w:rsidP="00CB6059">
      <w:pPr>
        <w:tabs>
          <w:tab w:val="left" w:pos="567"/>
        </w:tabs>
        <w:snapToGrid w:val="0"/>
        <w:rPr>
          <w:rFonts w:ascii="Arial" w:hAnsi="Arial" w:cs="Arial"/>
          <w:bCs/>
        </w:rPr>
      </w:pPr>
      <w:r w:rsidRPr="00CB6059">
        <w:rPr>
          <w:rFonts w:ascii="Arial" w:hAnsi="Arial" w:cs="Arial"/>
          <w:bCs/>
        </w:rPr>
        <w:t>R2-2209835</w:t>
      </w:r>
      <w:r>
        <w:rPr>
          <w:rFonts w:ascii="Arial" w:hAnsi="Arial" w:cs="Arial"/>
          <w:bCs/>
        </w:rPr>
        <w:tab/>
      </w:r>
      <w:r>
        <w:rPr>
          <w:rFonts w:ascii="Arial" w:hAnsi="Arial" w:cs="Arial"/>
          <w:bCs/>
        </w:rPr>
        <w:tab/>
      </w:r>
      <w:r w:rsidRPr="00CB6059">
        <w:rPr>
          <w:rFonts w:ascii="Arial" w:hAnsi="Arial" w:cs="Arial"/>
          <w:bCs/>
        </w:rPr>
        <w:t>Further discussion on GNSS enhancements</w:t>
      </w:r>
      <w:r w:rsidRPr="00CB6059">
        <w:rPr>
          <w:rFonts w:ascii="Arial" w:hAnsi="Arial" w:cs="Arial"/>
          <w:bCs/>
        </w:rPr>
        <w:tab/>
        <w:t>ZTE Corporation, Sanechips</w:t>
      </w:r>
    </w:p>
    <w:p w14:paraId="31D00B36" w14:textId="2E20A023" w:rsidR="00CB6059" w:rsidRPr="00CB6059" w:rsidRDefault="00CB6059" w:rsidP="00CB6059">
      <w:pPr>
        <w:tabs>
          <w:tab w:val="left" w:pos="567"/>
        </w:tabs>
        <w:snapToGrid w:val="0"/>
        <w:rPr>
          <w:rFonts w:ascii="Arial" w:hAnsi="Arial" w:cs="Arial"/>
          <w:bCs/>
        </w:rPr>
      </w:pPr>
      <w:r w:rsidRPr="00CB6059">
        <w:rPr>
          <w:rFonts w:ascii="Arial" w:hAnsi="Arial" w:cs="Arial"/>
          <w:bCs/>
        </w:rPr>
        <w:t>R2-2209966</w:t>
      </w:r>
      <w:r>
        <w:rPr>
          <w:rFonts w:ascii="Arial" w:hAnsi="Arial" w:cs="Arial"/>
          <w:bCs/>
        </w:rPr>
        <w:tab/>
      </w:r>
      <w:r>
        <w:rPr>
          <w:rFonts w:ascii="Arial" w:hAnsi="Arial" w:cs="Arial"/>
          <w:bCs/>
        </w:rPr>
        <w:tab/>
      </w:r>
      <w:r w:rsidRPr="00CB6059">
        <w:rPr>
          <w:rFonts w:ascii="Arial" w:hAnsi="Arial" w:cs="Arial"/>
          <w:bCs/>
        </w:rPr>
        <w:t>Considerations on reducing UE GNSS operations in long connection time</w:t>
      </w:r>
      <w:r w:rsidRPr="00CB6059">
        <w:rPr>
          <w:rFonts w:ascii="Arial" w:hAnsi="Arial" w:cs="Arial"/>
          <w:bCs/>
        </w:rPr>
        <w:tab/>
        <w:t>Lenovo</w:t>
      </w:r>
    </w:p>
    <w:p w14:paraId="154AF302" w14:textId="725213B0" w:rsidR="00CB6059" w:rsidRPr="00CB6059" w:rsidRDefault="00CB6059" w:rsidP="00CB6059">
      <w:pPr>
        <w:tabs>
          <w:tab w:val="left" w:pos="567"/>
        </w:tabs>
        <w:snapToGrid w:val="0"/>
        <w:rPr>
          <w:rFonts w:ascii="Arial" w:hAnsi="Arial" w:cs="Arial"/>
          <w:bCs/>
        </w:rPr>
      </w:pPr>
      <w:r w:rsidRPr="00CB6059">
        <w:rPr>
          <w:rFonts w:ascii="Arial" w:hAnsi="Arial" w:cs="Arial"/>
          <w:bCs/>
        </w:rPr>
        <w:t>R2-2210097</w:t>
      </w:r>
      <w:r>
        <w:rPr>
          <w:rFonts w:ascii="Arial" w:hAnsi="Arial" w:cs="Arial"/>
          <w:bCs/>
        </w:rPr>
        <w:tab/>
      </w:r>
      <w:r>
        <w:rPr>
          <w:rFonts w:ascii="Arial" w:hAnsi="Arial" w:cs="Arial"/>
          <w:bCs/>
        </w:rPr>
        <w:tab/>
      </w:r>
      <w:r w:rsidRPr="00CB6059">
        <w:rPr>
          <w:rFonts w:ascii="Arial" w:hAnsi="Arial" w:cs="Arial"/>
          <w:bCs/>
        </w:rPr>
        <w:t>Discussion on GNSS operation in connected mode</w:t>
      </w:r>
      <w:r w:rsidRPr="00CB6059">
        <w:rPr>
          <w:rFonts w:ascii="Arial" w:hAnsi="Arial" w:cs="Arial"/>
          <w:bCs/>
        </w:rPr>
        <w:tab/>
        <w:t>OPPO</w:t>
      </w:r>
    </w:p>
    <w:p w14:paraId="775945C7" w14:textId="04440F75" w:rsidR="00CB6059" w:rsidRPr="00CB6059" w:rsidRDefault="00CB6059" w:rsidP="00CB6059">
      <w:pPr>
        <w:tabs>
          <w:tab w:val="left" w:pos="567"/>
        </w:tabs>
        <w:snapToGrid w:val="0"/>
        <w:rPr>
          <w:rFonts w:ascii="Arial" w:hAnsi="Arial" w:cs="Arial"/>
          <w:bCs/>
        </w:rPr>
      </w:pPr>
      <w:r w:rsidRPr="00CB6059">
        <w:rPr>
          <w:rFonts w:ascii="Arial" w:hAnsi="Arial" w:cs="Arial"/>
          <w:bCs/>
        </w:rPr>
        <w:t>R2-2210153</w:t>
      </w:r>
      <w:r>
        <w:rPr>
          <w:rFonts w:ascii="Arial" w:hAnsi="Arial" w:cs="Arial"/>
          <w:bCs/>
        </w:rPr>
        <w:tab/>
      </w:r>
      <w:r>
        <w:rPr>
          <w:rFonts w:ascii="Arial" w:hAnsi="Arial" w:cs="Arial"/>
          <w:bCs/>
        </w:rPr>
        <w:tab/>
      </w:r>
      <w:r w:rsidRPr="00CB6059">
        <w:rPr>
          <w:rFonts w:ascii="Arial" w:hAnsi="Arial" w:cs="Arial"/>
          <w:bCs/>
        </w:rPr>
        <w:t>Discussion on the GNSS enhancement for IoT-NTN</w:t>
      </w:r>
      <w:r w:rsidRPr="00CB6059">
        <w:rPr>
          <w:rFonts w:ascii="Arial" w:hAnsi="Arial" w:cs="Arial"/>
          <w:bCs/>
        </w:rPr>
        <w:tab/>
        <w:t>CMCC</w:t>
      </w:r>
    </w:p>
    <w:p w14:paraId="36D6CA05" w14:textId="4C291071" w:rsidR="00CB6059" w:rsidRPr="00CB6059" w:rsidRDefault="00CB6059" w:rsidP="00CB6059">
      <w:pPr>
        <w:tabs>
          <w:tab w:val="left" w:pos="567"/>
        </w:tabs>
        <w:snapToGrid w:val="0"/>
        <w:rPr>
          <w:rFonts w:ascii="Arial" w:hAnsi="Arial" w:cs="Arial"/>
          <w:bCs/>
        </w:rPr>
      </w:pPr>
      <w:r w:rsidRPr="00CB6059">
        <w:rPr>
          <w:rFonts w:ascii="Arial" w:hAnsi="Arial" w:cs="Arial"/>
          <w:bCs/>
        </w:rPr>
        <w:t>R2-2210406</w:t>
      </w:r>
      <w:r>
        <w:rPr>
          <w:rFonts w:ascii="Arial" w:hAnsi="Arial" w:cs="Arial"/>
          <w:bCs/>
        </w:rPr>
        <w:tab/>
      </w:r>
      <w:r>
        <w:rPr>
          <w:rFonts w:ascii="Arial" w:hAnsi="Arial" w:cs="Arial"/>
          <w:bCs/>
        </w:rPr>
        <w:tab/>
      </w:r>
      <w:r w:rsidRPr="00CB6059">
        <w:rPr>
          <w:rFonts w:ascii="Arial" w:hAnsi="Arial" w:cs="Arial"/>
          <w:bCs/>
        </w:rPr>
        <w:t>Discussion on GNSS operation</w:t>
      </w:r>
      <w:r w:rsidRPr="00CB6059">
        <w:rPr>
          <w:rFonts w:ascii="Arial" w:hAnsi="Arial" w:cs="Arial"/>
          <w:bCs/>
        </w:rPr>
        <w:tab/>
        <w:t>Huawei, HiSilicon</w:t>
      </w:r>
    </w:p>
    <w:p w14:paraId="6910FCDA" w14:textId="6DEB7658" w:rsidR="00CB6059" w:rsidRPr="00CB6059" w:rsidRDefault="00CB6059" w:rsidP="00CB6059">
      <w:pPr>
        <w:tabs>
          <w:tab w:val="left" w:pos="567"/>
        </w:tabs>
        <w:snapToGrid w:val="0"/>
        <w:rPr>
          <w:rFonts w:ascii="Arial" w:hAnsi="Arial" w:cs="Arial"/>
          <w:bCs/>
        </w:rPr>
      </w:pPr>
      <w:r w:rsidRPr="00CB6059">
        <w:rPr>
          <w:rFonts w:ascii="Arial" w:hAnsi="Arial" w:cs="Arial"/>
          <w:bCs/>
        </w:rPr>
        <w:t>R2-2210440</w:t>
      </w:r>
      <w:r>
        <w:rPr>
          <w:rFonts w:ascii="Arial" w:hAnsi="Arial" w:cs="Arial"/>
          <w:bCs/>
        </w:rPr>
        <w:tab/>
      </w:r>
      <w:r>
        <w:rPr>
          <w:rFonts w:ascii="Arial" w:hAnsi="Arial" w:cs="Arial"/>
          <w:bCs/>
        </w:rPr>
        <w:tab/>
      </w:r>
      <w:r w:rsidRPr="00CB6059">
        <w:rPr>
          <w:rFonts w:ascii="Arial" w:hAnsi="Arial" w:cs="Arial"/>
          <w:bCs/>
        </w:rPr>
        <w:t>GNSS acquisition and reporting for IoT NTN</w:t>
      </w:r>
      <w:r w:rsidRPr="00CB6059">
        <w:rPr>
          <w:rFonts w:ascii="Arial" w:hAnsi="Arial" w:cs="Arial"/>
          <w:bCs/>
        </w:rPr>
        <w:tab/>
        <w:t>InterDigital</w:t>
      </w:r>
    </w:p>
    <w:p w14:paraId="4BC12BA2" w14:textId="4390AC5B" w:rsidR="00CB6059" w:rsidRPr="00CB6059" w:rsidRDefault="00CB6059" w:rsidP="00CB6059">
      <w:pPr>
        <w:tabs>
          <w:tab w:val="left" w:pos="567"/>
        </w:tabs>
        <w:snapToGrid w:val="0"/>
        <w:rPr>
          <w:rFonts w:ascii="Arial" w:hAnsi="Arial" w:cs="Arial"/>
          <w:bCs/>
        </w:rPr>
      </w:pPr>
      <w:r w:rsidRPr="00CB6059">
        <w:rPr>
          <w:rFonts w:ascii="Arial" w:hAnsi="Arial" w:cs="Arial"/>
          <w:bCs/>
        </w:rPr>
        <w:t>R2-2210644</w:t>
      </w:r>
      <w:r>
        <w:rPr>
          <w:rFonts w:ascii="Arial" w:hAnsi="Arial" w:cs="Arial"/>
          <w:bCs/>
        </w:rPr>
        <w:tab/>
      </w:r>
      <w:r>
        <w:rPr>
          <w:rFonts w:ascii="Arial" w:hAnsi="Arial" w:cs="Arial"/>
          <w:bCs/>
        </w:rPr>
        <w:tab/>
      </w:r>
      <w:r w:rsidRPr="00CB6059">
        <w:rPr>
          <w:rFonts w:ascii="Arial" w:hAnsi="Arial" w:cs="Arial"/>
          <w:bCs/>
        </w:rPr>
        <w:t>Regarding GNSS operation enhancements for IoT NTN</w:t>
      </w:r>
      <w:r w:rsidRPr="00CB6059">
        <w:rPr>
          <w:rFonts w:ascii="Arial" w:hAnsi="Arial" w:cs="Arial"/>
          <w:bCs/>
        </w:rPr>
        <w:tab/>
        <w:t>Nokia, Nokia Shanghai Bell</w:t>
      </w:r>
    </w:p>
    <w:p w14:paraId="4CB3CA08" w14:textId="7F92B576" w:rsidR="00CB6059" w:rsidRPr="00CB6059" w:rsidRDefault="00CB6059" w:rsidP="00CB6059">
      <w:pPr>
        <w:tabs>
          <w:tab w:val="left" w:pos="567"/>
        </w:tabs>
        <w:snapToGrid w:val="0"/>
        <w:rPr>
          <w:rFonts w:ascii="Arial" w:hAnsi="Arial" w:cs="Arial"/>
          <w:bCs/>
        </w:rPr>
      </w:pPr>
      <w:r w:rsidRPr="00CB6059">
        <w:rPr>
          <w:rFonts w:ascii="Arial" w:hAnsi="Arial" w:cs="Arial"/>
          <w:bCs/>
        </w:rPr>
        <w:t>R2-2210703</w:t>
      </w:r>
      <w:r>
        <w:rPr>
          <w:rFonts w:ascii="Arial" w:hAnsi="Arial" w:cs="Arial"/>
          <w:bCs/>
        </w:rPr>
        <w:tab/>
      </w:r>
      <w:r>
        <w:rPr>
          <w:rFonts w:ascii="Arial" w:hAnsi="Arial" w:cs="Arial"/>
          <w:bCs/>
        </w:rPr>
        <w:tab/>
      </w:r>
      <w:r w:rsidRPr="00CB6059">
        <w:rPr>
          <w:rFonts w:ascii="Arial" w:hAnsi="Arial" w:cs="Arial"/>
          <w:bCs/>
        </w:rPr>
        <w:t>On improved GNSS operation for IoT NTN</w:t>
      </w:r>
      <w:r w:rsidRPr="00CB6059">
        <w:rPr>
          <w:rFonts w:ascii="Arial" w:hAnsi="Arial" w:cs="Arial"/>
          <w:bCs/>
        </w:rPr>
        <w:tab/>
        <w:t>Samsung R&amp;D Institute UK</w:t>
      </w:r>
    </w:p>
    <w:p w14:paraId="25F1FBFB" w14:textId="71C6576F" w:rsidR="00316D46" w:rsidRDefault="00CB6059" w:rsidP="00CB6059">
      <w:pPr>
        <w:tabs>
          <w:tab w:val="left" w:pos="567"/>
        </w:tabs>
        <w:snapToGrid w:val="0"/>
        <w:rPr>
          <w:rFonts w:ascii="Arial" w:hAnsi="Arial" w:cs="Arial"/>
          <w:bCs/>
        </w:rPr>
      </w:pPr>
      <w:r w:rsidRPr="00CB6059">
        <w:rPr>
          <w:rFonts w:ascii="Arial" w:hAnsi="Arial" w:cs="Arial"/>
          <w:bCs/>
        </w:rPr>
        <w:t>R2-2210840</w:t>
      </w:r>
      <w:r>
        <w:rPr>
          <w:rFonts w:ascii="Arial" w:hAnsi="Arial" w:cs="Arial"/>
          <w:bCs/>
        </w:rPr>
        <w:tab/>
      </w:r>
      <w:r>
        <w:rPr>
          <w:rFonts w:ascii="Arial" w:hAnsi="Arial" w:cs="Arial"/>
          <w:bCs/>
        </w:rPr>
        <w:tab/>
      </w:r>
      <w:r w:rsidRPr="00CB6059">
        <w:rPr>
          <w:rFonts w:ascii="Arial" w:hAnsi="Arial" w:cs="Arial"/>
          <w:bCs/>
        </w:rPr>
        <w:t>Report of [AT119bis-e][101][R18 IoT-NTN] GNSS operation (CATT)</w:t>
      </w:r>
      <w:r w:rsidRPr="00CB6059">
        <w:rPr>
          <w:rFonts w:ascii="Arial" w:hAnsi="Arial" w:cs="Arial"/>
          <w:bCs/>
        </w:rPr>
        <w:tab/>
        <w:t>CATT</w:t>
      </w:r>
    </w:p>
    <w:p w14:paraId="611526E6" w14:textId="77777777" w:rsidR="00CB6059" w:rsidRPr="00CB6059" w:rsidRDefault="00CB6059" w:rsidP="00CB6059">
      <w:pPr>
        <w:tabs>
          <w:tab w:val="left" w:pos="567"/>
        </w:tabs>
        <w:snapToGrid w:val="0"/>
        <w:rPr>
          <w:rFonts w:ascii="Arial" w:hAnsi="Arial" w:cs="Arial"/>
          <w:bCs/>
        </w:rPr>
      </w:pPr>
    </w:p>
    <w:p w14:paraId="0A4A06EE" w14:textId="31997BC3" w:rsidR="00316D46" w:rsidRDefault="00316D46" w:rsidP="00316D46">
      <w:pPr>
        <w:tabs>
          <w:tab w:val="left" w:pos="567"/>
        </w:tabs>
        <w:snapToGrid w:val="0"/>
        <w:rPr>
          <w:rFonts w:ascii="Arial" w:hAnsi="Arial" w:cs="Arial"/>
          <w:bCs/>
          <w:u w:val="single"/>
        </w:rPr>
      </w:pPr>
      <w:r>
        <w:rPr>
          <w:rFonts w:ascii="Arial" w:hAnsi="Arial" w:cs="Arial"/>
          <w:bCs/>
          <w:u w:val="single"/>
        </w:rPr>
        <w:t>Submitted TDocs to AI 8.6.3</w:t>
      </w:r>
    </w:p>
    <w:p w14:paraId="41E3FECA" w14:textId="34FD8BCE" w:rsidR="00CB6059" w:rsidRPr="00CB6059" w:rsidRDefault="00CB6059" w:rsidP="00CB6059">
      <w:pPr>
        <w:tabs>
          <w:tab w:val="left" w:pos="567"/>
        </w:tabs>
        <w:snapToGrid w:val="0"/>
        <w:rPr>
          <w:rFonts w:ascii="Arial" w:hAnsi="Arial" w:cs="Arial"/>
          <w:bCs/>
        </w:rPr>
      </w:pPr>
      <w:r w:rsidRPr="00CB6059">
        <w:rPr>
          <w:rFonts w:ascii="Arial" w:hAnsi="Arial" w:cs="Arial"/>
          <w:bCs/>
        </w:rPr>
        <w:t>R2-2209411</w:t>
      </w:r>
      <w:r>
        <w:rPr>
          <w:rFonts w:ascii="Arial" w:hAnsi="Arial" w:cs="Arial"/>
          <w:bCs/>
        </w:rPr>
        <w:tab/>
      </w:r>
      <w:r>
        <w:rPr>
          <w:rFonts w:ascii="Arial" w:hAnsi="Arial" w:cs="Arial"/>
          <w:bCs/>
        </w:rPr>
        <w:tab/>
      </w:r>
      <w:r w:rsidRPr="00CB6059">
        <w:rPr>
          <w:rFonts w:ascii="Arial" w:hAnsi="Arial" w:cs="Arial"/>
          <w:bCs/>
        </w:rPr>
        <w:t>Discussion on IoT NTN Mobility Enhancements</w:t>
      </w:r>
      <w:r w:rsidRPr="00CB6059">
        <w:rPr>
          <w:rFonts w:ascii="Arial" w:hAnsi="Arial" w:cs="Arial"/>
          <w:bCs/>
        </w:rPr>
        <w:tab/>
        <w:t>CATT</w:t>
      </w:r>
    </w:p>
    <w:p w14:paraId="62B25DF4" w14:textId="29B1D1BC" w:rsidR="00CB6059" w:rsidRPr="00CB6059" w:rsidRDefault="00CB6059" w:rsidP="00CB6059">
      <w:pPr>
        <w:tabs>
          <w:tab w:val="left" w:pos="567"/>
        </w:tabs>
        <w:snapToGrid w:val="0"/>
        <w:rPr>
          <w:rFonts w:ascii="Arial" w:hAnsi="Arial" w:cs="Arial"/>
          <w:bCs/>
        </w:rPr>
      </w:pPr>
      <w:r w:rsidRPr="00CB6059">
        <w:rPr>
          <w:rFonts w:ascii="Arial" w:hAnsi="Arial" w:cs="Arial"/>
          <w:bCs/>
        </w:rPr>
        <w:t>R2-2209443</w:t>
      </w:r>
      <w:r>
        <w:rPr>
          <w:rFonts w:ascii="Arial" w:hAnsi="Arial" w:cs="Arial"/>
          <w:bCs/>
        </w:rPr>
        <w:tab/>
      </w:r>
      <w:r>
        <w:rPr>
          <w:rFonts w:ascii="Arial" w:hAnsi="Arial" w:cs="Arial"/>
          <w:bCs/>
        </w:rPr>
        <w:tab/>
      </w:r>
      <w:r w:rsidRPr="00CB6059">
        <w:rPr>
          <w:rFonts w:ascii="Arial" w:hAnsi="Arial" w:cs="Arial"/>
          <w:bCs/>
        </w:rPr>
        <w:t>On Mobility Enhancements in IoT-NTN</w:t>
      </w:r>
      <w:r w:rsidRPr="00CB6059">
        <w:rPr>
          <w:rFonts w:ascii="Arial" w:hAnsi="Arial" w:cs="Arial"/>
          <w:bCs/>
        </w:rPr>
        <w:tab/>
        <w:t>MediaTek Inc.</w:t>
      </w:r>
    </w:p>
    <w:p w14:paraId="6FCB39EC" w14:textId="468737C9" w:rsidR="00CB6059" w:rsidRPr="00CB6059" w:rsidRDefault="00CB6059" w:rsidP="00CB6059">
      <w:pPr>
        <w:tabs>
          <w:tab w:val="left" w:pos="567"/>
        </w:tabs>
        <w:snapToGrid w:val="0"/>
        <w:rPr>
          <w:rFonts w:ascii="Arial" w:hAnsi="Arial" w:cs="Arial"/>
          <w:bCs/>
        </w:rPr>
      </w:pPr>
      <w:r w:rsidRPr="00CB6059">
        <w:rPr>
          <w:rFonts w:ascii="Arial" w:hAnsi="Arial" w:cs="Arial"/>
          <w:bCs/>
        </w:rPr>
        <w:t>R2-2209580</w:t>
      </w:r>
      <w:r>
        <w:rPr>
          <w:rFonts w:ascii="Arial" w:hAnsi="Arial" w:cs="Arial"/>
          <w:bCs/>
        </w:rPr>
        <w:tab/>
      </w:r>
      <w:r>
        <w:rPr>
          <w:rFonts w:ascii="Arial" w:hAnsi="Arial" w:cs="Arial"/>
          <w:bCs/>
        </w:rPr>
        <w:tab/>
      </w:r>
      <w:r w:rsidRPr="00CB6059">
        <w:rPr>
          <w:rFonts w:ascii="Arial" w:hAnsi="Arial" w:cs="Arial"/>
          <w:bCs/>
        </w:rPr>
        <w:t>Discussion on neighbour cell measurements in IoT NTN</w:t>
      </w:r>
      <w:r w:rsidRPr="00CB6059">
        <w:rPr>
          <w:rFonts w:ascii="Arial" w:hAnsi="Arial" w:cs="Arial"/>
          <w:bCs/>
        </w:rPr>
        <w:tab/>
        <w:t>Intel Corporation</w:t>
      </w:r>
    </w:p>
    <w:p w14:paraId="6279FC3B" w14:textId="663C52F5" w:rsidR="00CB6059" w:rsidRPr="00CB6059" w:rsidRDefault="00CB6059" w:rsidP="00CB6059">
      <w:pPr>
        <w:tabs>
          <w:tab w:val="left" w:pos="567"/>
        </w:tabs>
        <w:snapToGrid w:val="0"/>
        <w:rPr>
          <w:rFonts w:ascii="Arial" w:hAnsi="Arial" w:cs="Arial"/>
          <w:bCs/>
        </w:rPr>
      </w:pPr>
      <w:r w:rsidRPr="00CB6059">
        <w:rPr>
          <w:rFonts w:ascii="Arial" w:hAnsi="Arial" w:cs="Arial"/>
          <w:bCs/>
        </w:rPr>
        <w:t>R2-2209718</w:t>
      </w:r>
      <w:r>
        <w:rPr>
          <w:rFonts w:ascii="Arial" w:hAnsi="Arial" w:cs="Arial"/>
          <w:bCs/>
        </w:rPr>
        <w:tab/>
      </w:r>
      <w:r>
        <w:rPr>
          <w:rFonts w:ascii="Arial" w:hAnsi="Arial" w:cs="Arial"/>
          <w:bCs/>
        </w:rPr>
        <w:tab/>
      </w:r>
      <w:r w:rsidRPr="00CB6059">
        <w:rPr>
          <w:rFonts w:ascii="Arial" w:hAnsi="Arial" w:cs="Arial"/>
          <w:bCs/>
        </w:rPr>
        <w:t>Connected mode mobility enhancements</w:t>
      </w:r>
      <w:r w:rsidRPr="00CB6059">
        <w:rPr>
          <w:rFonts w:ascii="Arial" w:hAnsi="Arial" w:cs="Arial"/>
          <w:bCs/>
        </w:rPr>
        <w:tab/>
        <w:t>Qualcomm Incorporated</w:t>
      </w:r>
    </w:p>
    <w:p w14:paraId="7CCE5A0B" w14:textId="791BFC84" w:rsidR="00CB6059" w:rsidRPr="00CB6059" w:rsidRDefault="00CB6059" w:rsidP="00CB6059">
      <w:pPr>
        <w:tabs>
          <w:tab w:val="left" w:pos="567"/>
        </w:tabs>
        <w:snapToGrid w:val="0"/>
        <w:rPr>
          <w:rFonts w:ascii="Arial" w:hAnsi="Arial" w:cs="Arial"/>
          <w:bCs/>
        </w:rPr>
      </w:pPr>
      <w:r w:rsidRPr="00CB6059">
        <w:rPr>
          <w:rFonts w:ascii="Arial" w:hAnsi="Arial" w:cs="Arial"/>
          <w:bCs/>
        </w:rPr>
        <w:t>R2-2209719</w:t>
      </w:r>
      <w:r>
        <w:rPr>
          <w:rFonts w:ascii="Arial" w:hAnsi="Arial" w:cs="Arial"/>
          <w:bCs/>
        </w:rPr>
        <w:tab/>
      </w:r>
      <w:r>
        <w:rPr>
          <w:rFonts w:ascii="Arial" w:hAnsi="Arial" w:cs="Arial"/>
          <w:bCs/>
        </w:rPr>
        <w:tab/>
      </w:r>
      <w:r w:rsidRPr="00CB6059">
        <w:rPr>
          <w:rFonts w:ascii="Arial" w:hAnsi="Arial" w:cs="Arial"/>
          <w:bCs/>
        </w:rPr>
        <w:t>RLF detection in earth fixed cell</w:t>
      </w:r>
      <w:r w:rsidRPr="00CB6059">
        <w:rPr>
          <w:rFonts w:ascii="Arial" w:hAnsi="Arial" w:cs="Arial"/>
          <w:bCs/>
        </w:rPr>
        <w:tab/>
        <w:t>Qualcomm Incorporated</w:t>
      </w:r>
    </w:p>
    <w:p w14:paraId="13614672" w14:textId="104E5755" w:rsidR="00CB6059" w:rsidRPr="00CB6059" w:rsidRDefault="00CB6059" w:rsidP="00CB6059">
      <w:pPr>
        <w:tabs>
          <w:tab w:val="left" w:pos="567"/>
        </w:tabs>
        <w:snapToGrid w:val="0"/>
        <w:rPr>
          <w:rFonts w:ascii="Arial" w:hAnsi="Arial" w:cs="Arial"/>
          <w:bCs/>
        </w:rPr>
      </w:pPr>
      <w:r w:rsidRPr="00CB6059">
        <w:rPr>
          <w:rFonts w:ascii="Arial" w:hAnsi="Arial" w:cs="Arial"/>
          <w:bCs/>
        </w:rPr>
        <w:t>R2-2209751</w:t>
      </w:r>
      <w:r>
        <w:rPr>
          <w:rFonts w:ascii="Arial" w:hAnsi="Arial" w:cs="Arial"/>
          <w:bCs/>
        </w:rPr>
        <w:tab/>
      </w:r>
      <w:r>
        <w:rPr>
          <w:rFonts w:ascii="Arial" w:hAnsi="Arial" w:cs="Arial"/>
          <w:bCs/>
        </w:rPr>
        <w:tab/>
      </w:r>
      <w:r w:rsidRPr="00CB6059">
        <w:rPr>
          <w:rFonts w:ascii="Arial" w:hAnsi="Arial" w:cs="Arial"/>
          <w:bCs/>
        </w:rPr>
        <w:t>Discussion on mobility enhancement for IoT NTN</w:t>
      </w:r>
      <w:r w:rsidRPr="00CB6059">
        <w:rPr>
          <w:rFonts w:ascii="Arial" w:hAnsi="Arial" w:cs="Arial"/>
          <w:bCs/>
        </w:rPr>
        <w:tab/>
        <w:t>Transsion Holdings</w:t>
      </w:r>
    </w:p>
    <w:p w14:paraId="15D82D01" w14:textId="4F4FAD3D" w:rsidR="00CB6059" w:rsidRPr="00CB6059" w:rsidRDefault="00CB6059" w:rsidP="00CB6059">
      <w:pPr>
        <w:tabs>
          <w:tab w:val="left" w:pos="567"/>
        </w:tabs>
        <w:snapToGrid w:val="0"/>
        <w:rPr>
          <w:rFonts w:ascii="Arial" w:hAnsi="Arial" w:cs="Arial"/>
          <w:bCs/>
        </w:rPr>
      </w:pPr>
      <w:r w:rsidRPr="00CB6059">
        <w:rPr>
          <w:rFonts w:ascii="Arial" w:hAnsi="Arial" w:cs="Arial"/>
          <w:bCs/>
        </w:rPr>
        <w:t>R2-2209794</w:t>
      </w:r>
      <w:r>
        <w:rPr>
          <w:rFonts w:ascii="Arial" w:hAnsi="Arial" w:cs="Arial"/>
          <w:bCs/>
        </w:rPr>
        <w:tab/>
      </w:r>
      <w:r>
        <w:rPr>
          <w:rFonts w:ascii="Arial" w:hAnsi="Arial" w:cs="Arial"/>
          <w:bCs/>
        </w:rPr>
        <w:tab/>
      </w:r>
      <w:r w:rsidRPr="00CB6059">
        <w:rPr>
          <w:rFonts w:ascii="Arial" w:hAnsi="Arial" w:cs="Arial"/>
          <w:bCs/>
        </w:rPr>
        <w:t>Neighbour cell measurements before RLF</w:t>
      </w:r>
      <w:r w:rsidRPr="00CB6059">
        <w:rPr>
          <w:rFonts w:ascii="Arial" w:hAnsi="Arial" w:cs="Arial"/>
          <w:bCs/>
        </w:rPr>
        <w:tab/>
        <w:t>Apple</w:t>
      </w:r>
    </w:p>
    <w:p w14:paraId="21432B93" w14:textId="46DDD15D" w:rsidR="00CB6059" w:rsidRPr="00CB6059" w:rsidRDefault="00CB6059" w:rsidP="00CB6059">
      <w:pPr>
        <w:tabs>
          <w:tab w:val="left" w:pos="567"/>
        </w:tabs>
        <w:snapToGrid w:val="0"/>
        <w:rPr>
          <w:rFonts w:ascii="Arial" w:hAnsi="Arial" w:cs="Arial"/>
          <w:bCs/>
        </w:rPr>
      </w:pPr>
      <w:r w:rsidRPr="00CB6059">
        <w:rPr>
          <w:rFonts w:ascii="Arial" w:hAnsi="Arial" w:cs="Arial"/>
          <w:bCs/>
        </w:rPr>
        <w:t>R2-2209836</w:t>
      </w:r>
      <w:r>
        <w:rPr>
          <w:rFonts w:ascii="Arial" w:hAnsi="Arial" w:cs="Arial"/>
          <w:bCs/>
        </w:rPr>
        <w:tab/>
      </w:r>
      <w:r>
        <w:rPr>
          <w:rFonts w:ascii="Arial" w:hAnsi="Arial" w:cs="Arial"/>
          <w:bCs/>
        </w:rPr>
        <w:tab/>
      </w:r>
      <w:r w:rsidRPr="00CB6059">
        <w:rPr>
          <w:rFonts w:ascii="Arial" w:hAnsi="Arial" w:cs="Arial"/>
          <w:bCs/>
        </w:rPr>
        <w:t>Further discussion on mobility enhancements</w:t>
      </w:r>
      <w:r w:rsidRPr="00CB6059">
        <w:rPr>
          <w:rFonts w:ascii="Arial" w:hAnsi="Arial" w:cs="Arial"/>
          <w:bCs/>
        </w:rPr>
        <w:tab/>
        <w:t>ZTE Corporation, Sanechips</w:t>
      </w:r>
    </w:p>
    <w:p w14:paraId="28EB6053" w14:textId="4BE976E0" w:rsidR="00CB6059" w:rsidRPr="00CB6059" w:rsidRDefault="00CB6059" w:rsidP="00CB6059">
      <w:pPr>
        <w:tabs>
          <w:tab w:val="left" w:pos="567"/>
        </w:tabs>
        <w:snapToGrid w:val="0"/>
        <w:rPr>
          <w:rFonts w:ascii="Arial" w:hAnsi="Arial" w:cs="Arial"/>
          <w:bCs/>
        </w:rPr>
      </w:pPr>
      <w:r w:rsidRPr="00CB6059">
        <w:rPr>
          <w:rFonts w:ascii="Arial" w:hAnsi="Arial" w:cs="Arial"/>
          <w:bCs/>
        </w:rPr>
        <w:t>R2-2209967</w:t>
      </w:r>
      <w:r>
        <w:rPr>
          <w:rFonts w:ascii="Arial" w:hAnsi="Arial" w:cs="Arial"/>
          <w:bCs/>
        </w:rPr>
        <w:tab/>
      </w:r>
      <w:r>
        <w:rPr>
          <w:rFonts w:ascii="Arial" w:hAnsi="Arial" w:cs="Arial"/>
          <w:bCs/>
        </w:rPr>
        <w:tab/>
      </w:r>
      <w:r w:rsidRPr="00CB6059">
        <w:rPr>
          <w:rFonts w:ascii="Arial" w:hAnsi="Arial" w:cs="Arial"/>
          <w:bCs/>
        </w:rPr>
        <w:t>NTN-specific CONNECTED neighbour cell measurement for NB-IoT</w:t>
      </w:r>
      <w:r w:rsidRPr="00CB6059">
        <w:rPr>
          <w:rFonts w:ascii="Arial" w:hAnsi="Arial" w:cs="Arial"/>
          <w:bCs/>
        </w:rPr>
        <w:tab/>
        <w:t>Lenovo</w:t>
      </w:r>
    </w:p>
    <w:p w14:paraId="68DB1349" w14:textId="699A86E5" w:rsidR="00CB6059" w:rsidRPr="00CB6059" w:rsidRDefault="00CB6059" w:rsidP="00CB6059">
      <w:pPr>
        <w:tabs>
          <w:tab w:val="left" w:pos="567"/>
        </w:tabs>
        <w:snapToGrid w:val="0"/>
        <w:rPr>
          <w:rFonts w:ascii="Arial" w:hAnsi="Arial" w:cs="Arial"/>
          <w:bCs/>
        </w:rPr>
      </w:pPr>
      <w:r w:rsidRPr="00CB6059">
        <w:rPr>
          <w:rFonts w:ascii="Arial" w:hAnsi="Arial" w:cs="Arial"/>
          <w:bCs/>
        </w:rPr>
        <w:t>R2-2209968</w:t>
      </w:r>
      <w:r>
        <w:rPr>
          <w:rFonts w:ascii="Arial" w:hAnsi="Arial" w:cs="Arial"/>
          <w:bCs/>
        </w:rPr>
        <w:tab/>
      </w:r>
      <w:r>
        <w:rPr>
          <w:rFonts w:ascii="Arial" w:hAnsi="Arial" w:cs="Arial"/>
          <w:bCs/>
        </w:rPr>
        <w:tab/>
      </w:r>
      <w:r w:rsidRPr="00CB6059">
        <w:rPr>
          <w:rFonts w:ascii="Arial" w:hAnsi="Arial" w:cs="Arial"/>
          <w:bCs/>
        </w:rPr>
        <w:t>On IDLE mobility for IoT NTN</w:t>
      </w:r>
      <w:r w:rsidRPr="00CB6059">
        <w:rPr>
          <w:rFonts w:ascii="Arial" w:hAnsi="Arial" w:cs="Arial"/>
          <w:bCs/>
        </w:rPr>
        <w:tab/>
        <w:t>Lenovo</w:t>
      </w:r>
    </w:p>
    <w:p w14:paraId="377FCE22" w14:textId="75F89D41" w:rsidR="00CB6059" w:rsidRPr="00CB6059" w:rsidRDefault="00CB6059" w:rsidP="00CB6059">
      <w:pPr>
        <w:tabs>
          <w:tab w:val="left" w:pos="567"/>
        </w:tabs>
        <w:snapToGrid w:val="0"/>
        <w:rPr>
          <w:rFonts w:ascii="Arial" w:hAnsi="Arial" w:cs="Arial"/>
          <w:bCs/>
        </w:rPr>
      </w:pPr>
      <w:r w:rsidRPr="00CB6059">
        <w:rPr>
          <w:rFonts w:ascii="Arial" w:hAnsi="Arial" w:cs="Arial"/>
          <w:bCs/>
        </w:rPr>
        <w:t>R2-2209978</w:t>
      </w:r>
      <w:r>
        <w:rPr>
          <w:rFonts w:ascii="Arial" w:hAnsi="Arial" w:cs="Arial"/>
          <w:bCs/>
        </w:rPr>
        <w:tab/>
      </w:r>
      <w:r>
        <w:rPr>
          <w:rFonts w:ascii="Arial" w:hAnsi="Arial" w:cs="Arial"/>
          <w:bCs/>
        </w:rPr>
        <w:tab/>
      </w:r>
      <w:r w:rsidRPr="00CB6059">
        <w:rPr>
          <w:rFonts w:ascii="Arial" w:hAnsi="Arial" w:cs="Arial"/>
          <w:bCs/>
        </w:rPr>
        <w:t>Discussion on triggering neighbour cell measurement before RLF</w:t>
      </w:r>
      <w:r w:rsidRPr="00CB6059">
        <w:rPr>
          <w:rFonts w:ascii="Arial" w:hAnsi="Arial" w:cs="Arial"/>
          <w:bCs/>
        </w:rPr>
        <w:tab/>
        <w:t>Spreadtrum Communications</w:t>
      </w:r>
    </w:p>
    <w:p w14:paraId="3D13B66F" w14:textId="6E955627" w:rsidR="00CB6059" w:rsidRPr="00CB6059" w:rsidRDefault="00CB6059" w:rsidP="00CB6059">
      <w:pPr>
        <w:tabs>
          <w:tab w:val="left" w:pos="567"/>
        </w:tabs>
        <w:snapToGrid w:val="0"/>
        <w:rPr>
          <w:rFonts w:ascii="Arial" w:hAnsi="Arial" w:cs="Arial"/>
          <w:bCs/>
        </w:rPr>
      </w:pPr>
      <w:r w:rsidRPr="00CB6059">
        <w:rPr>
          <w:rFonts w:ascii="Arial" w:hAnsi="Arial" w:cs="Arial"/>
          <w:bCs/>
        </w:rPr>
        <w:lastRenderedPageBreak/>
        <w:t>R2-2210074</w:t>
      </w:r>
      <w:r>
        <w:rPr>
          <w:rFonts w:ascii="Arial" w:hAnsi="Arial" w:cs="Arial"/>
          <w:bCs/>
        </w:rPr>
        <w:tab/>
      </w:r>
      <w:r>
        <w:rPr>
          <w:rFonts w:ascii="Arial" w:hAnsi="Arial" w:cs="Arial"/>
          <w:bCs/>
        </w:rPr>
        <w:tab/>
      </w:r>
      <w:r w:rsidRPr="00CB6059">
        <w:rPr>
          <w:rFonts w:ascii="Arial" w:hAnsi="Arial" w:cs="Arial"/>
          <w:bCs/>
        </w:rPr>
        <w:t>On the applicability of mobility enhancements features for IoT-NTN</w:t>
      </w:r>
      <w:r w:rsidRPr="00CB6059">
        <w:rPr>
          <w:rFonts w:ascii="Arial" w:hAnsi="Arial" w:cs="Arial"/>
          <w:bCs/>
        </w:rPr>
        <w:tab/>
        <w:t>Nokia, Nokia Shanghai Bell</w:t>
      </w:r>
    </w:p>
    <w:p w14:paraId="384A9020" w14:textId="0B1DCEF2" w:rsidR="00CB6059" w:rsidRPr="00CB6059" w:rsidRDefault="00CB6059" w:rsidP="00CB6059">
      <w:pPr>
        <w:tabs>
          <w:tab w:val="left" w:pos="567"/>
        </w:tabs>
        <w:snapToGrid w:val="0"/>
        <w:rPr>
          <w:rFonts w:ascii="Arial" w:hAnsi="Arial" w:cs="Arial"/>
          <w:bCs/>
        </w:rPr>
      </w:pPr>
      <w:r w:rsidRPr="00CB6059">
        <w:rPr>
          <w:rFonts w:ascii="Arial" w:hAnsi="Arial" w:cs="Arial"/>
          <w:bCs/>
        </w:rPr>
        <w:t>R2-2210089</w:t>
      </w:r>
      <w:r>
        <w:rPr>
          <w:rFonts w:ascii="Arial" w:hAnsi="Arial" w:cs="Arial"/>
          <w:bCs/>
        </w:rPr>
        <w:tab/>
      </w:r>
      <w:r>
        <w:rPr>
          <w:rFonts w:ascii="Arial" w:hAnsi="Arial" w:cs="Arial"/>
          <w:bCs/>
        </w:rPr>
        <w:tab/>
      </w:r>
      <w:r w:rsidRPr="00CB6059">
        <w:rPr>
          <w:rFonts w:ascii="Arial" w:hAnsi="Arial" w:cs="Arial"/>
          <w:bCs/>
        </w:rPr>
        <w:t>Discussion on mobility enhancement for IoT NTN</w:t>
      </w:r>
      <w:r w:rsidRPr="00CB6059">
        <w:rPr>
          <w:rFonts w:ascii="Arial" w:hAnsi="Arial" w:cs="Arial"/>
          <w:bCs/>
        </w:rPr>
        <w:tab/>
        <w:t>OPPO</w:t>
      </w:r>
    </w:p>
    <w:p w14:paraId="1F87E043" w14:textId="60E811BD" w:rsidR="00CB6059" w:rsidRPr="00CB6059" w:rsidRDefault="00CB6059" w:rsidP="00CB6059">
      <w:pPr>
        <w:tabs>
          <w:tab w:val="left" w:pos="567"/>
        </w:tabs>
        <w:snapToGrid w:val="0"/>
        <w:rPr>
          <w:rFonts w:ascii="Arial" w:hAnsi="Arial" w:cs="Arial"/>
          <w:bCs/>
        </w:rPr>
      </w:pPr>
      <w:r w:rsidRPr="00CB6059">
        <w:rPr>
          <w:rFonts w:ascii="Arial" w:hAnsi="Arial" w:cs="Arial"/>
          <w:bCs/>
        </w:rPr>
        <w:t>R2-2210122</w:t>
      </w:r>
      <w:r>
        <w:rPr>
          <w:rFonts w:ascii="Arial" w:hAnsi="Arial" w:cs="Arial"/>
          <w:bCs/>
        </w:rPr>
        <w:tab/>
      </w:r>
      <w:r>
        <w:rPr>
          <w:rFonts w:ascii="Arial" w:hAnsi="Arial" w:cs="Arial"/>
          <w:bCs/>
        </w:rPr>
        <w:tab/>
      </w:r>
      <w:r w:rsidRPr="00CB6059">
        <w:rPr>
          <w:rFonts w:ascii="Arial" w:hAnsi="Arial" w:cs="Arial"/>
          <w:bCs/>
        </w:rPr>
        <w:t>Enhancements on the neighbour cell measurement</w:t>
      </w:r>
      <w:r w:rsidRPr="00CB6059">
        <w:rPr>
          <w:rFonts w:ascii="Arial" w:hAnsi="Arial" w:cs="Arial"/>
          <w:bCs/>
        </w:rPr>
        <w:tab/>
        <w:t>Xiaomi</w:t>
      </w:r>
    </w:p>
    <w:p w14:paraId="3AB32C81" w14:textId="4226900C" w:rsidR="00CB6059" w:rsidRPr="00CB6059" w:rsidRDefault="00CB6059" w:rsidP="00CB6059">
      <w:pPr>
        <w:tabs>
          <w:tab w:val="left" w:pos="567"/>
        </w:tabs>
        <w:snapToGrid w:val="0"/>
        <w:rPr>
          <w:rFonts w:ascii="Arial" w:hAnsi="Arial" w:cs="Arial"/>
          <w:bCs/>
        </w:rPr>
      </w:pPr>
      <w:r w:rsidRPr="00CB6059">
        <w:rPr>
          <w:rFonts w:ascii="Arial" w:hAnsi="Arial" w:cs="Arial"/>
          <w:bCs/>
        </w:rPr>
        <w:t>R2-2210154</w:t>
      </w:r>
      <w:r>
        <w:rPr>
          <w:rFonts w:ascii="Arial" w:hAnsi="Arial" w:cs="Arial"/>
          <w:bCs/>
        </w:rPr>
        <w:tab/>
      </w:r>
      <w:r>
        <w:rPr>
          <w:rFonts w:ascii="Arial" w:hAnsi="Arial" w:cs="Arial"/>
          <w:bCs/>
        </w:rPr>
        <w:tab/>
      </w:r>
      <w:r w:rsidRPr="00CB6059">
        <w:rPr>
          <w:rFonts w:ascii="Arial" w:hAnsi="Arial" w:cs="Arial"/>
          <w:bCs/>
        </w:rPr>
        <w:t>Discussion on the mobility enhancement for IoT-NTN</w:t>
      </w:r>
      <w:r w:rsidRPr="00CB6059">
        <w:rPr>
          <w:rFonts w:ascii="Arial" w:hAnsi="Arial" w:cs="Arial"/>
          <w:bCs/>
        </w:rPr>
        <w:tab/>
        <w:t>CMCC</w:t>
      </w:r>
    </w:p>
    <w:p w14:paraId="06BF1341" w14:textId="30D4993A" w:rsidR="00CB6059" w:rsidRPr="00CB6059" w:rsidRDefault="00CB6059" w:rsidP="00CB6059">
      <w:pPr>
        <w:tabs>
          <w:tab w:val="left" w:pos="567"/>
        </w:tabs>
        <w:snapToGrid w:val="0"/>
        <w:rPr>
          <w:rFonts w:ascii="Arial" w:hAnsi="Arial" w:cs="Arial"/>
          <w:bCs/>
        </w:rPr>
      </w:pPr>
      <w:r w:rsidRPr="00CB6059">
        <w:rPr>
          <w:rFonts w:ascii="Arial" w:hAnsi="Arial" w:cs="Arial"/>
          <w:bCs/>
        </w:rPr>
        <w:t>R2-2210196</w:t>
      </w:r>
      <w:r>
        <w:rPr>
          <w:rFonts w:ascii="Arial" w:hAnsi="Arial" w:cs="Arial"/>
          <w:bCs/>
        </w:rPr>
        <w:tab/>
      </w:r>
      <w:r>
        <w:rPr>
          <w:rFonts w:ascii="Arial" w:hAnsi="Arial" w:cs="Arial"/>
          <w:bCs/>
        </w:rPr>
        <w:tab/>
      </w:r>
      <w:r w:rsidRPr="00CB6059">
        <w:rPr>
          <w:rFonts w:ascii="Arial" w:hAnsi="Arial" w:cs="Arial"/>
          <w:bCs/>
        </w:rPr>
        <w:t>IoT-NTN mobility enhancements</w:t>
      </w:r>
      <w:r w:rsidRPr="00CB6059">
        <w:rPr>
          <w:rFonts w:ascii="Arial" w:hAnsi="Arial" w:cs="Arial"/>
          <w:bCs/>
        </w:rPr>
        <w:tab/>
        <w:t>Interdigital, Inc.</w:t>
      </w:r>
    </w:p>
    <w:p w14:paraId="6B52558A" w14:textId="06C12936" w:rsidR="00CB6059" w:rsidRPr="00CB6059" w:rsidRDefault="00CB6059" w:rsidP="00CB6059">
      <w:pPr>
        <w:tabs>
          <w:tab w:val="left" w:pos="567"/>
        </w:tabs>
        <w:snapToGrid w:val="0"/>
        <w:rPr>
          <w:rFonts w:ascii="Arial" w:hAnsi="Arial" w:cs="Arial"/>
          <w:bCs/>
        </w:rPr>
      </w:pPr>
      <w:r w:rsidRPr="00CB6059">
        <w:rPr>
          <w:rFonts w:ascii="Arial" w:hAnsi="Arial" w:cs="Arial"/>
          <w:bCs/>
        </w:rPr>
        <w:t>R2-2210321</w:t>
      </w:r>
      <w:r>
        <w:rPr>
          <w:rFonts w:ascii="Arial" w:hAnsi="Arial" w:cs="Arial"/>
          <w:bCs/>
        </w:rPr>
        <w:tab/>
      </w:r>
      <w:r>
        <w:rPr>
          <w:rFonts w:ascii="Arial" w:hAnsi="Arial" w:cs="Arial"/>
          <w:bCs/>
        </w:rPr>
        <w:tab/>
      </w:r>
      <w:r w:rsidRPr="00CB6059">
        <w:rPr>
          <w:rFonts w:ascii="Arial" w:hAnsi="Arial" w:cs="Arial"/>
          <w:bCs/>
        </w:rPr>
        <w:t>Mobility Enhancement for IoT NTN</w:t>
      </w:r>
      <w:r w:rsidRPr="00CB6059">
        <w:rPr>
          <w:rFonts w:ascii="Arial" w:hAnsi="Arial" w:cs="Arial"/>
          <w:bCs/>
        </w:rPr>
        <w:tab/>
        <w:t>Samsung R&amp;D Institute UK</w:t>
      </w:r>
    </w:p>
    <w:p w14:paraId="50A8806C" w14:textId="1B2439B6" w:rsidR="00CB6059" w:rsidRPr="00CB6059" w:rsidRDefault="00CB6059" w:rsidP="00CB6059">
      <w:pPr>
        <w:tabs>
          <w:tab w:val="left" w:pos="567"/>
        </w:tabs>
        <w:snapToGrid w:val="0"/>
        <w:rPr>
          <w:rFonts w:ascii="Arial" w:hAnsi="Arial" w:cs="Arial"/>
          <w:bCs/>
        </w:rPr>
      </w:pPr>
      <w:r w:rsidRPr="00CB6059">
        <w:rPr>
          <w:rFonts w:ascii="Arial" w:hAnsi="Arial" w:cs="Arial"/>
          <w:bCs/>
        </w:rPr>
        <w:t>R2-2210372</w:t>
      </w:r>
      <w:r>
        <w:rPr>
          <w:rFonts w:ascii="Arial" w:hAnsi="Arial" w:cs="Arial"/>
          <w:bCs/>
        </w:rPr>
        <w:tab/>
      </w:r>
      <w:r>
        <w:rPr>
          <w:rFonts w:ascii="Arial" w:hAnsi="Arial" w:cs="Arial"/>
          <w:bCs/>
        </w:rPr>
        <w:tab/>
      </w:r>
      <w:r w:rsidRPr="00CB6059">
        <w:rPr>
          <w:rFonts w:ascii="Arial" w:hAnsi="Arial" w:cs="Arial"/>
          <w:bCs/>
        </w:rPr>
        <w:t>Use of Elevation Angle Threshold for IoT NTN Neighbour Cell Measurements</w:t>
      </w:r>
      <w:r w:rsidRPr="00CB6059">
        <w:rPr>
          <w:rFonts w:ascii="Arial" w:hAnsi="Arial" w:cs="Arial"/>
          <w:bCs/>
        </w:rPr>
        <w:tab/>
        <w:t>SHARP Corporation</w:t>
      </w:r>
    </w:p>
    <w:p w14:paraId="6B53A1A6" w14:textId="7F586F19" w:rsidR="00CB6059" w:rsidRPr="00CB6059" w:rsidRDefault="00CB6059" w:rsidP="00CB6059">
      <w:pPr>
        <w:tabs>
          <w:tab w:val="left" w:pos="567"/>
        </w:tabs>
        <w:snapToGrid w:val="0"/>
        <w:rPr>
          <w:rFonts w:ascii="Arial" w:hAnsi="Arial" w:cs="Arial"/>
          <w:bCs/>
        </w:rPr>
      </w:pPr>
      <w:r w:rsidRPr="00CB6059">
        <w:rPr>
          <w:rFonts w:ascii="Arial" w:hAnsi="Arial" w:cs="Arial"/>
          <w:bCs/>
        </w:rPr>
        <w:t>R2-2210407</w:t>
      </w:r>
      <w:r>
        <w:rPr>
          <w:rFonts w:ascii="Arial" w:hAnsi="Arial" w:cs="Arial"/>
          <w:bCs/>
        </w:rPr>
        <w:tab/>
      </w:r>
      <w:r>
        <w:rPr>
          <w:rFonts w:ascii="Arial" w:hAnsi="Arial" w:cs="Arial"/>
          <w:bCs/>
        </w:rPr>
        <w:tab/>
      </w:r>
      <w:r w:rsidRPr="00CB6059">
        <w:rPr>
          <w:rFonts w:ascii="Arial" w:hAnsi="Arial" w:cs="Arial"/>
          <w:bCs/>
        </w:rPr>
        <w:t>Discussion on mobility enhancements</w:t>
      </w:r>
      <w:r w:rsidRPr="00CB6059">
        <w:rPr>
          <w:rFonts w:ascii="Arial" w:hAnsi="Arial" w:cs="Arial"/>
          <w:bCs/>
        </w:rPr>
        <w:tab/>
        <w:t>Huawei, HiSilicon</w:t>
      </w:r>
    </w:p>
    <w:p w14:paraId="026D4529" w14:textId="5D2D525B" w:rsidR="00CB6059" w:rsidRPr="00CB6059" w:rsidRDefault="00CB6059" w:rsidP="00CB6059">
      <w:pPr>
        <w:tabs>
          <w:tab w:val="left" w:pos="567"/>
        </w:tabs>
        <w:snapToGrid w:val="0"/>
        <w:rPr>
          <w:rFonts w:ascii="Arial" w:hAnsi="Arial" w:cs="Arial"/>
          <w:bCs/>
        </w:rPr>
      </w:pPr>
      <w:r w:rsidRPr="00CB6059">
        <w:rPr>
          <w:rFonts w:ascii="Arial" w:hAnsi="Arial" w:cs="Arial"/>
          <w:bCs/>
        </w:rPr>
        <w:t>R2-2210597</w:t>
      </w:r>
      <w:r>
        <w:rPr>
          <w:rFonts w:ascii="Arial" w:hAnsi="Arial" w:cs="Arial"/>
          <w:bCs/>
        </w:rPr>
        <w:tab/>
      </w:r>
      <w:r>
        <w:rPr>
          <w:rFonts w:ascii="Arial" w:hAnsi="Arial" w:cs="Arial"/>
          <w:bCs/>
        </w:rPr>
        <w:tab/>
      </w:r>
      <w:r w:rsidRPr="00CB6059">
        <w:rPr>
          <w:rFonts w:ascii="Arial" w:hAnsi="Arial" w:cs="Arial"/>
          <w:bCs/>
        </w:rPr>
        <w:t>Discussion on Mobility Enhancements of IoT NTN</w:t>
      </w:r>
      <w:r w:rsidRPr="00CB6059">
        <w:rPr>
          <w:rFonts w:ascii="Arial" w:hAnsi="Arial" w:cs="Arial"/>
          <w:bCs/>
        </w:rPr>
        <w:tab/>
        <w:t>TURKCELL</w:t>
      </w:r>
    </w:p>
    <w:p w14:paraId="3502E015" w14:textId="59BC8AAE" w:rsidR="00CB6059" w:rsidRPr="00CB6059" w:rsidRDefault="00CB6059" w:rsidP="00CB6059">
      <w:pPr>
        <w:tabs>
          <w:tab w:val="left" w:pos="567"/>
        </w:tabs>
        <w:snapToGrid w:val="0"/>
        <w:rPr>
          <w:rFonts w:ascii="Arial" w:hAnsi="Arial" w:cs="Arial"/>
          <w:bCs/>
        </w:rPr>
      </w:pPr>
      <w:r w:rsidRPr="00CB6059">
        <w:rPr>
          <w:rFonts w:ascii="Arial" w:hAnsi="Arial" w:cs="Arial"/>
          <w:bCs/>
        </w:rPr>
        <w:t>R2-2210733</w:t>
      </w:r>
      <w:r>
        <w:rPr>
          <w:rFonts w:ascii="Arial" w:hAnsi="Arial" w:cs="Arial"/>
          <w:bCs/>
        </w:rPr>
        <w:tab/>
      </w:r>
      <w:r>
        <w:rPr>
          <w:rFonts w:ascii="Arial" w:hAnsi="Arial" w:cs="Arial"/>
          <w:bCs/>
        </w:rPr>
        <w:tab/>
      </w:r>
      <w:r w:rsidRPr="00CB6059">
        <w:rPr>
          <w:rFonts w:ascii="Arial" w:hAnsi="Arial" w:cs="Arial"/>
          <w:bCs/>
        </w:rPr>
        <w:t>Discussion on Conditional Handover in IoT NTN</w:t>
      </w:r>
      <w:r w:rsidRPr="00CB6059">
        <w:rPr>
          <w:rFonts w:ascii="Arial" w:hAnsi="Arial" w:cs="Arial"/>
          <w:bCs/>
        </w:rPr>
        <w:tab/>
        <w:t>Ericsson</w:t>
      </w:r>
    </w:p>
    <w:p w14:paraId="4A5B4339" w14:textId="790FF879" w:rsidR="00CB6059" w:rsidRPr="00CB6059" w:rsidRDefault="00CB6059" w:rsidP="00CB6059">
      <w:pPr>
        <w:tabs>
          <w:tab w:val="left" w:pos="567"/>
        </w:tabs>
        <w:snapToGrid w:val="0"/>
        <w:rPr>
          <w:rFonts w:ascii="Arial" w:hAnsi="Arial" w:cs="Arial"/>
          <w:bCs/>
        </w:rPr>
      </w:pPr>
      <w:r w:rsidRPr="00CB6059">
        <w:rPr>
          <w:rFonts w:ascii="Arial" w:hAnsi="Arial" w:cs="Arial"/>
          <w:bCs/>
        </w:rPr>
        <w:t>R2-2210735</w:t>
      </w:r>
      <w:r>
        <w:rPr>
          <w:rFonts w:ascii="Arial" w:hAnsi="Arial" w:cs="Arial"/>
          <w:bCs/>
        </w:rPr>
        <w:tab/>
      </w:r>
      <w:r>
        <w:rPr>
          <w:rFonts w:ascii="Arial" w:hAnsi="Arial" w:cs="Arial"/>
          <w:bCs/>
        </w:rPr>
        <w:tab/>
      </w:r>
      <w:r w:rsidRPr="00CB6059">
        <w:rPr>
          <w:rFonts w:ascii="Arial" w:hAnsi="Arial" w:cs="Arial"/>
          <w:bCs/>
        </w:rPr>
        <w:t>Discussion on connected mode measurements</w:t>
      </w:r>
      <w:r w:rsidRPr="00CB6059">
        <w:rPr>
          <w:rFonts w:ascii="Arial" w:hAnsi="Arial" w:cs="Arial"/>
          <w:bCs/>
        </w:rPr>
        <w:tab/>
        <w:t>Ericsson</w:t>
      </w:r>
    </w:p>
    <w:p w14:paraId="2F37C9EB" w14:textId="6ED39B88" w:rsidR="00316D46" w:rsidRPr="00CB6059" w:rsidRDefault="00CB6059" w:rsidP="00CB6059">
      <w:pPr>
        <w:tabs>
          <w:tab w:val="left" w:pos="567"/>
        </w:tabs>
        <w:snapToGrid w:val="0"/>
        <w:rPr>
          <w:rFonts w:ascii="Arial" w:hAnsi="Arial" w:cs="Arial"/>
          <w:bCs/>
        </w:rPr>
      </w:pPr>
      <w:r w:rsidRPr="00CB6059">
        <w:rPr>
          <w:rFonts w:ascii="Arial" w:hAnsi="Arial" w:cs="Arial"/>
          <w:bCs/>
        </w:rPr>
        <w:t>R2-2210861</w:t>
      </w:r>
      <w:r>
        <w:rPr>
          <w:rFonts w:ascii="Arial" w:hAnsi="Arial" w:cs="Arial"/>
          <w:bCs/>
        </w:rPr>
        <w:tab/>
      </w:r>
      <w:r>
        <w:rPr>
          <w:rFonts w:ascii="Arial" w:hAnsi="Arial" w:cs="Arial"/>
          <w:bCs/>
        </w:rPr>
        <w:tab/>
      </w:r>
      <w:r w:rsidRPr="00CB6059">
        <w:rPr>
          <w:rFonts w:ascii="Arial" w:hAnsi="Arial" w:cs="Arial"/>
          <w:bCs/>
        </w:rPr>
        <w:t>Report of [AT119bis-e][118][IoT NTN Enh] Mobility enhancements</w:t>
      </w:r>
      <w:r w:rsidRPr="00CB6059">
        <w:rPr>
          <w:rFonts w:ascii="Arial" w:hAnsi="Arial" w:cs="Arial"/>
          <w:bCs/>
        </w:rPr>
        <w:tab/>
        <w:t>ZTE (rapporteur)</w:t>
      </w:r>
    </w:p>
    <w:p w14:paraId="15E3414E" w14:textId="77777777" w:rsidR="00F9174B" w:rsidRDefault="00F9174B">
      <w:pPr>
        <w:rPr>
          <w:lang w:eastAsia="ja-JP"/>
        </w:rPr>
      </w:pPr>
    </w:p>
    <w:p w14:paraId="0852CFA9" w14:textId="77777777" w:rsidR="00F9174B" w:rsidRPr="00D10DBF" w:rsidRDefault="00827744">
      <w:pPr>
        <w:pStyle w:val="Heading2"/>
        <w:rPr>
          <w:lang w:eastAsia="ja-JP"/>
        </w:rPr>
      </w:pPr>
      <w:r w:rsidRPr="00D10DBF">
        <w:rPr>
          <w:lang w:eastAsia="ja-JP"/>
        </w:rPr>
        <w:t>4.3</w:t>
      </w:r>
      <w:r w:rsidRPr="00D10DBF">
        <w:rPr>
          <w:lang w:eastAsia="ja-JP"/>
        </w:rPr>
        <w:tab/>
        <w:t>RAN3</w:t>
      </w:r>
    </w:p>
    <w:p w14:paraId="1014B4F2" w14:textId="77777777" w:rsidR="00D10DBF" w:rsidRPr="00D10DBF" w:rsidRDefault="00D10DBF" w:rsidP="00D10DBF">
      <w:pPr>
        <w:tabs>
          <w:tab w:val="left" w:pos="567"/>
        </w:tabs>
        <w:snapToGrid w:val="0"/>
        <w:rPr>
          <w:rFonts w:ascii="Arial" w:hAnsi="Arial" w:cs="Arial"/>
          <w:b/>
          <w:lang w:eastAsia="en-US"/>
        </w:rPr>
      </w:pPr>
      <w:r w:rsidRPr="00D10DBF">
        <w:rPr>
          <w:rFonts w:ascii="Arial" w:hAnsi="Arial" w:cs="Arial"/>
          <w:b/>
          <w:lang w:eastAsia="en-US"/>
        </w:rPr>
        <w:t>RAN3#118, November 14th – 18th, 2022, e-meeting</w:t>
      </w:r>
    </w:p>
    <w:p w14:paraId="056E5ED7"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R3-226317</w:t>
      </w:r>
      <w:r w:rsidRPr="00D10DBF">
        <w:rPr>
          <w:rFonts w:ascii="Arial" w:hAnsi="Arial" w:cs="Arial"/>
          <w:sz w:val="20"/>
          <w:szCs w:val="20"/>
        </w:rPr>
        <w:tab/>
        <w:t>Discussion on the support for discontinuous coverage</w:t>
      </w:r>
      <w:r w:rsidRPr="00D10DBF">
        <w:rPr>
          <w:rFonts w:ascii="Arial" w:hAnsi="Arial" w:cs="Arial"/>
          <w:sz w:val="20"/>
          <w:szCs w:val="20"/>
        </w:rPr>
        <w:tab/>
        <w:t>Nokia, Nokia Shanghai Bell</w:t>
      </w:r>
    </w:p>
    <w:p w14:paraId="7639170C"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R3-226318</w:t>
      </w:r>
      <w:r w:rsidRPr="00D10DBF">
        <w:rPr>
          <w:rFonts w:ascii="Arial" w:hAnsi="Arial" w:cs="Arial"/>
          <w:sz w:val="20"/>
          <w:szCs w:val="20"/>
        </w:rPr>
        <w:tab/>
        <w:t>Support for IOT NTN enhancements</w:t>
      </w:r>
      <w:r w:rsidRPr="00D10DBF">
        <w:rPr>
          <w:rFonts w:ascii="Arial" w:hAnsi="Arial" w:cs="Arial"/>
          <w:sz w:val="20"/>
          <w:szCs w:val="20"/>
        </w:rPr>
        <w:tab/>
        <w:t>Nokia, Nokia Shanghai Bell, CATT, Thales, Ericsson, Huawei</w:t>
      </w:r>
    </w:p>
    <w:p w14:paraId="0736295D"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R3-226444</w:t>
      </w:r>
      <w:r w:rsidRPr="00D10DBF">
        <w:rPr>
          <w:rFonts w:ascii="Arial" w:hAnsi="Arial" w:cs="Arial"/>
          <w:sz w:val="20"/>
          <w:szCs w:val="20"/>
        </w:rPr>
        <w:tab/>
        <w:t>Discussion of SA2 SI Conclusions and Potential RAN3 impacts</w:t>
      </w:r>
      <w:r w:rsidRPr="00D10DBF">
        <w:rPr>
          <w:rFonts w:ascii="Arial" w:hAnsi="Arial" w:cs="Arial"/>
          <w:sz w:val="20"/>
          <w:szCs w:val="20"/>
        </w:rPr>
        <w:tab/>
        <w:t xml:space="preserve"> Ericsson, Thales, Huawei</w:t>
      </w:r>
    </w:p>
    <w:p w14:paraId="43DD8DF5"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R3-226445</w:t>
      </w:r>
      <w:r w:rsidRPr="00D10DBF">
        <w:rPr>
          <w:rFonts w:ascii="Arial" w:hAnsi="Arial" w:cs="Arial"/>
          <w:sz w:val="20"/>
          <w:szCs w:val="20"/>
        </w:rPr>
        <w:tab/>
        <w:t>Time-Based CHO and IoT NTN   Ericsson LM</w:t>
      </w:r>
    </w:p>
    <w:p w14:paraId="259BBA2F"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R3-226462</w:t>
      </w:r>
      <w:r w:rsidRPr="00D10DBF">
        <w:rPr>
          <w:rFonts w:ascii="Arial" w:hAnsi="Arial" w:cs="Arial"/>
          <w:sz w:val="20"/>
          <w:szCs w:val="20"/>
        </w:rPr>
        <w:tab/>
        <w:t>Time-Based HO for IoT NTN – S1AP Impacts</w:t>
      </w:r>
      <w:r w:rsidRPr="00D10DBF">
        <w:rPr>
          <w:rFonts w:ascii="Arial" w:hAnsi="Arial" w:cs="Arial"/>
          <w:sz w:val="20"/>
          <w:szCs w:val="20"/>
        </w:rPr>
        <w:tab/>
        <w:t>Ericsson, Huawei</w:t>
      </w:r>
    </w:p>
    <w:p w14:paraId="6242702B"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R3-226477</w:t>
      </w:r>
      <w:r w:rsidRPr="00D10DBF">
        <w:rPr>
          <w:rFonts w:ascii="Arial" w:hAnsi="Arial" w:cs="Arial"/>
          <w:sz w:val="20"/>
          <w:szCs w:val="20"/>
        </w:rPr>
        <w:tab/>
        <w:t>Further discussion on discontinuous coverage issue for IoT NTN</w:t>
      </w:r>
      <w:r w:rsidRPr="00D10DBF">
        <w:rPr>
          <w:rFonts w:ascii="Arial" w:hAnsi="Arial" w:cs="Arial"/>
          <w:sz w:val="20"/>
          <w:szCs w:val="20"/>
        </w:rPr>
        <w:tab/>
        <w:t>ZTE</w:t>
      </w:r>
    </w:p>
    <w:p w14:paraId="29D60C52"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R3-226478</w:t>
      </w:r>
      <w:r w:rsidRPr="00D10DBF">
        <w:rPr>
          <w:rFonts w:ascii="Arial" w:hAnsi="Arial" w:cs="Arial"/>
          <w:sz w:val="20"/>
          <w:szCs w:val="20"/>
        </w:rPr>
        <w:tab/>
        <w:t>Support of discontinuous coverage for IoT NTN</w:t>
      </w:r>
      <w:r w:rsidRPr="00D10DBF">
        <w:rPr>
          <w:rFonts w:ascii="Arial" w:hAnsi="Arial" w:cs="Arial"/>
          <w:sz w:val="20"/>
          <w:szCs w:val="20"/>
        </w:rPr>
        <w:tab/>
        <w:t>ZTE</w:t>
      </w:r>
    </w:p>
    <w:p w14:paraId="13A37272"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R3-226594</w:t>
      </w:r>
      <w:r w:rsidRPr="00D10DBF">
        <w:rPr>
          <w:rFonts w:ascii="Arial" w:hAnsi="Arial" w:cs="Arial"/>
          <w:sz w:val="20"/>
          <w:szCs w:val="20"/>
        </w:rPr>
        <w:tab/>
        <w:t>Discussion on the discontinuous coverage issues</w:t>
      </w:r>
      <w:r w:rsidRPr="00D10DBF">
        <w:rPr>
          <w:rFonts w:ascii="Arial" w:hAnsi="Arial" w:cs="Arial"/>
          <w:sz w:val="20"/>
          <w:szCs w:val="20"/>
        </w:rPr>
        <w:tab/>
        <w:t xml:space="preserve">Samsung </w:t>
      </w:r>
    </w:p>
    <w:p w14:paraId="006A2BED"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R3-226627</w:t>
      </w:r>
      <w:r w:rsidRPr="00D10DBF">
        <w:rPr>
          <w:rFonts w:ascii="Arial" w:hAnsi="Arial" w:cs="Arial"/>
          <w:sz w:val="20"/>
          <w:szCs w:val="20"/>
        </w:rPr>
        <w:tab/>
        <w:t>Further discussion on the support of discontinuous coverage</w:t>
      </w:r>
      <w:r w:rsidRPr="00D10DBF">
        <w:rPr>
          <w:rFonts w:ascii="Arial" w:hAnsi="Arial" w:cs="Arial"/>
          <w:sz w:val="20"/>
          <w:szCs w:val="20"/>
        </w:rPr>
        <w:tab/>
        <w:t>Huawei</w:t>
      </w:r>
    </w:p>
    <w:p w14:paraId="0423D288"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R3-226628</w:t>
      </w:r>
      <w:r w:rsidRPr="00D10DBF">
        <w:rPr>
          <w:rFonts w:ascii="Arial" w:hAnsi="Arial" w:cs="Arial"/>
          <w:sz w:val="20"/>
          <w:szCs w:val="20"/>
        </w:rPr>
        <w:tab/>
        <w:t xml:space="preserve">Support for IoT NTN enhancements </w:t>
      </w:r>
      <w:r w:rsidRPr="00D10DBF">
        <w:rPr>
          <w:rFonts w:ascii="Arial" w:hAnsi="Arial" w:cs="Arial"/>
          <w:sz w:val="20"/>
          <w:szCs w:val="20"/>
        </w:rPr>
        <w:tab/>
        <w:t>Huawei, Nokia, Nokia Shanghai Bell, CATT, Ericsson</w:t>
      </w:r>
    </w:p>
    <w:p w14:paraId="6D505E0E"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R3-226629</w:t>
      </w:r>
      <w:r w:rsidRPr="00D10DBF">
        <w:rPr>
          <w:rFonts w:ascii="Arial" w:hAnsi="Arial" w:cs="Arial"/>
          <w:sz w:val="20"/>
          <w:szCs w:val="20"/>
        </w:rPr>
        <w:tab/>
        <w:t xml:space="preserve">X2AP CR on IoT NTN Functionality </w:t>
      </w:r>
      <w:r w:rsidRPr="00D10DBF">
        <w:rPr>
          <w:rFonts w:ascii="Arial" w:hAnsi="Arial" w:cs="Arial"/>
          <w:sz w:val="20"/>
          <w:szCs w:val="20"/>
        </w:rPr>
        <w:tab/>
        <w:t>Huawei, CATT, Nokia, Nokia Shanghai Bell, Qualcomm, ZTE, CMCC, Ericsson</w:t>
      </w:r>
    </w:p>
    <w:p w14:paraId="3F3542B1"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R3-226630</w:t>
      </w:r>
      <w:r w:rsidRPr="00D10DBF">
        <w:rPr>
          <w:rFonts w:ascii="Arial" w:hAnsi="Arial" w:cs="Arial"/>
          <w:sz w:val="20"/>
          <w:szCs w:val="20"/>
        </w:rPr>
        <w:tab/>
        <w:t>S1AP impact to support discontinuous coverage</w:t>
      </w:r>
      <w:r w:rsidRPr="00D10DBF">
        <w:rPr>
          <w:rFonts w:ascii="Arial" w:hAnsi="Arial" w:cs="Arial"/>
          <w:sz w:val="20"/>
          <w:szCs w:val="20"/>
        </w:rPr>
        <w:tab/>
        <w:t>Huawei</w:t>
      </w:r>
    </w:p>
    <w:p w14:paraId="794C67C6" w14:textId="7ACE5B85" w:rsid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R3-226634</w:t>
      </w:r>
      <w:r w:rsidRPr="00D10DBF">
        <w:rPr>
          <w:rFonts w:ascii="Arial" w:hAnsi="Arial" w:cs="Arial"/>
          <w:sz w:val="20"/>
          <w:szCs w:val="20"/>
        </w:rPr>
        <w:tab/>
        <w:t>Discussion on the support of discontinuous coverage</w:t>
      </w:r>
      <w:r w:rsidRPr="00D10DBF">
        <w:rPr>
          <w:rFonts w:ascii="Arial" w:hAnsi="Arial" w:cs="Arial"/>
          <w:sz w:val="20"/>
          <w:szCs w:val="20"/>
        </w:rPr>
        <w:tab/>
        <w:t>CATT</w:t>
      </w:r>
    </w:p>
    <w:p w14:paraId="5999E6E4" w14:textId="62CF9973" w:rsidR="00D10DBF" w:rsidRDefault="00D10DBF" w:rsidP="00D10DBF">
      <w:pPr>
        <w:tabs>
          <w:tab w:val="left" w:pos="567"/>
        </w:tabs>
        <w:snapToGrid w:val="0"/>
        <w:spacing w:line="256" w:lineRule="auto"/>
        <w:rPr>
          <w:rFonts w:ascii="Arial" w:hAnsi="Arial" w:cs="Arial"/>
        </w:rPr>
      </w:pPr>
    </w:p>
    <w:p w14:paraId="6F269E69" w14:textId="77777777" w:rsidR="00D10DBF" w:rsidRPr="00D10DBF" w:rsidRDefault="00D10DBF" w:rsidP="00D10DBF">
      <w:pPr>
        <w:tabs>
          <w:tab w:val="left" w:pos="567"/>
        </w:tabs>
        <w:snapToGrid w:val="0"/>
        <w:rPr>
          <w:rFonts w:ascii="Arial" w:hAnsi="Arial" w:cs="Arial"/>
          <w:b/>
          <w:lang w:eastAsia="en-US"/>
        </w:rPr>
      </w:pPr>
      <w:r w:rsidRPr="00D10DBF">
        <w:rPr>
          <w:rFonts w:ascii="Arial" w:hAnsi="Arial" w:cs="Arial"/>
          <w:b/>
          <w:lang w:eastAsia="en-US"/>
        </w:rPr>
        <w:t>RAN3#117bis-e, October 10th – 18th, 2022, e-meeting</w:t>
      </w:r>
    </w:p>
    <w:p w14:paraId="379803A1"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R3-225461</w:t>
      </w:r>
      <w:r w:rsidRPr="00D10DBF">
        <w:rPr>
          <w:rFonts w:ascii="Arial" w:hAnsi="Arial" w:cs="Arial"/>
          <w:sz w:val="20"/>
          <w:szCs w:val="20"/>
        </w:rPr>
        <w:tab/>
        <w:t>Discussion on the support for discontinuous coverage</w:t>
      </w:r>
      <w:r w:rsidRPr="00D10DBF">
        <w:rPr>
          <w:rFonts w:ascii="Arial" w:hAnsi="Arial" w:cs="Arial"/>
          <w:sz w:val="20"/>
          <w:szCs w:val="20"/>
        </w:rPr>
        <w:tab/>
        <w:t>Nokia, Nokia Shanghai Bell</w:t>
      </w:r>
    </w:p>
    <w:p w14:paraId="5DCFF71A"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R3-225462</w:t>
      </w:r>
      <w:r w:rsidRPr="00D10DBF">
        <w:rPr>
          <w:rFonts w:ascii="Arial" w:hAnsi="Arial" w:cs="Arial"/>
          <w:sz w:val="20"/>
          <w:szCs w:val="20"/>
        </w:rPr>
        <w:tab/>
        <w:t>Support for IOT NTN enhancements</w:t>
      </w:r>
      <w:r w:rsidRPr="00D10DBF">
        <w:rPr>
          <w:rFonts w:ascii="Arial" w:hAnsi="Arial" w:cs="Arial"/>
          <w:sz w:val="20"/>
          <w:szCs w:val="20"/>
        </w:rPr>
        <w:tab/>
        <w:t>Nokia, Nokia Shanghai Bell</w:t>
      </w:r>
    </w:p>
    <w:p w14:paraId="0E478274"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R3-225613</w:t>
      </w:r>
      <w:r w:rsidRPr="00D10DBF">
        <w:rPr>
          <w:rFonts w:ascii="Arial" w:hAnsi="Arial" w:cs="Arial"/>
          <w:sz w:val="20"/>
          <w:szCs w:val="20"/>
        </w:rPr>
        <w:tab/>
        <w:t>Further discussion on discontinuous coverage issue for IoT NTN</w:t>
      </w:r>
      <w:r w:rsidRPr="00D10DBF">
        <w:rPr>
          <w:rFonts w:ascii="Arial" w:hAnsi="Arial" w:cs="Arial"/>
          <w:sz w:val="20"/>
          <w:szCs w:val="20"/>
        </w:rPr>
        <w:tab/>
        <w:t xml:space="preserve">ZTE </w:t>
      </w:r>
    </w:p>
    <w:p w14:paraId="68646618"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R3-225614</w:t>
      </w:r>
      <w:r w:rsidRPr="00D10DBF">
        <w:rPr>
          <w:rFonts w:ascii="Arial" w:hAnsi="Arial" w:cs="Arial"/>
          <w:sz w:val="20"/>
          <w:szCs w:val="20"/>
        </w:rPr>
        <w:tab/>
        <w:t>Discussion on discontinuous coverage(draft LS included)</w:t>
      </w:r>
      <w:r w:rsidRPr="00D10DBF">
        <w:rPr>
          <w:rFonts w:ascii="Arial" w:hAnsi="Arial" w:cs="Arial"/>
          <w:sz w:val="20"/>
          <w:szCs w:val="20"/>
        </w:rPr>
        <w:tab/>
        <w:t xml:space="preserve">   CATT</w:t>
      </w:r>
    </w:p>
    <w:p w14:paraId="6EAD8B45"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R3-225691</w:t>
      </w:r>
      <w:r w:rsidRPr="00D10DBF">
        <w:rPr>
          <w:rFonts w:ascii="Arial" w:hAnsi="Arial" w:cs="Arial"/>
          <w:sz w:val="20"/>
          <w:szCs w:val="20"/>
        </w:rPr>
        <w:tab/>
        <w:t>Further discussion on the support of discontinuous coverage</w:t>
      </w:r>
      <w:r w:rsidRPr="00D10DBF">
        <w:rPr>
          <w:rFonts w:ascii="Arial" w:hAnsi="Arial" w:cs="Arial"/>
          <w:sz w:val="20"/>
          <w:szCs w:val="20"/>
        </w:rPr>
        <w:tab/>
        <w:t>Huawei</w:t>
      </w:r>
    </w:p>
    <w:p w14:paraId="12C4CD21" w14:textId="77777777" w:rsidR="00D10DBF" w:rsidRPr="00D10DBF" w:rsidRDefault="00D10DBF" w:rsidP="00D10DBF">
      <w:pPr>
        <w:pStyle w:val="ListParagraph"/>
        <w:numPr>
          <w:ilvl w:val="0"/>
          <w:numId w:val="43"/>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R3-225932</w:t>
      </w:r>
      <w:r w:rsidRPr="00D10DBF">
        <w:rPr>
          <w:rFonts w:ascii="Arial" w:hAnsi="Arial" w:cs="Arial"/>
          <w:sz w:val="20"/>
          <w:szCs w:val="20"/>
        </w:rPr>
        <w:tab/>
        <w:t>CB: # IoTNTN_Coverage - Summary of email discussion</w:t>
      </w:r>
      <w:r w:rsidRPr="00D10DBF">
        <w:rPr>
          <w:rFonts w:ascii="Arial" w:hAnsi="Arial" w:cs="Arial"/>
          <w:sz w:val="20"/>
          <w:szCs w:val="20"/>
        </w:rPr>
        <w:tab/>
        <w:t>ZTE - moderator</w:t>
      </w:r>
    </w:p>
    <w:p w14:paraId="513EBEB2" w14:textId="77777777" w:rsidR="00D10DBF" w:rsidRPr="00D10DBF" w:rsidRDefault="00D10DBF" w:rsidP="00D10DBF">
      <w:pPr>
        <w:tabs>
          <w:tab w:val="left" w:pos="567"/>
        </w:tabs>
        <w:snapToGrid w:val="0"/>
        <w:spacing w:line="256" w:lineRule="auto"/>
        <w:rPr>
          <w:rFonts w:ascii="Arial" w:hAnsi="Arial" w:cs="Arial"/>
          <w:lang w:val="en-US"/>
        </w:rPr>
      </w:pPr>
    </w:p>
    <w:p w14:paraId="7708CC2E" w14:textId="77777777" w:rsidR="00F9174B" w:rsidRPr="00D10DBF" w:rsidRDefault="00F9174B">
      <w:pPr>
        <w:rPr>
          <w:lang w:val="en-US" w:eastAsia="ja-JP"/>
        </w:rPr>
      </w:pPr>
    </w:p>
    <w:p w14:paraId="278E05DC" w14:textId="77777777" w:rsidR="00F9174B" w:rsidRDefault="00827744">
      <w:pPr>
        <w:pStyle w:val="Heading1"/>
        <w:rPr>
          <w:lang w:eastAsia="ja-JP"/>
        </w:rPr>
      </w:pPr>
      <w:r>
        <w:rPr>
          <w:lang w:eastAsia="ja-JP"/>
        </w:rPr>
        <w:lastRenderedPageBreak/>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EADE8" w14:textId="77777777" w:rsidR="007766E9" w:rsidRDefault="007766E9">
      <w:pPr>
        <w:spacing w:after="0" w:line="240" w:lineRule="auto"/>
      </w:pPr>
      <w:r>
        <w:separator/>
      </w:r>
    </w:p>
  </w:endnote>
  <w:endnote w:type="continuationSeparator" w:id="0">
    <w:p w14:paraId="2726A797" w14:textId="77777777" w:rsidR="007766E9" w:rsidRDefault="00776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F9174B" w:rsidRDefault="00827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0B402" w14:textId="77777777" w:rsidR="007766E9" w:rsidRDefault="007766E9">
      <w:pPr>
        <w:spacing w:after="0" w:line="240" w:lineRule="auto"/>
      </w:pPr>
      <w:r>
        <w:separator/>
      </w:r>
    </w:p>
  </w:footnote>
  <w:footnote w:type="continuationSeparator" w:id="0">
    <w:p w14:paraId="37EC4ADB" w14:textId="77777777" w:rsidR="007766E9" w:rsidRDefault="007766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A2216C"/>
    <w:multiLevelType w:val="hybridMultilevel"/>
    <w:tmpl w:val="CCD2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4A56C7"/>
    <w:multiLevelType w:val="hybridMultilevel"/>
    <w:tmpl w:val="B178C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6244FD"/>
    <w:multiLevelType w:val="hybridMultilevel"/>
    <w:tmpl w:val="D72E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931"/>
    <w:multiLevelType w:val="multilevel"/>
    <w:tmpl w:val="1C0A593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16ABC"/>
    <w:multiLevelType w:val="multilevel"/>
    <w:tmpl w:val="1F21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8E1039"/>
    <w:multiLevelType w:val="hybridMultilevel"/>
    <w:tmpl w:val="F560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55AE7"/>
    <w:multiLevelType w:val="hybridMultilevel"/>
    <w:tmpl w:val="136EB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B2480C"/>
    <w:multiLevelType w:val="hybridMultilevel"/>
    <w:tmpl w:val="8A4E3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9863321"/>
    <w:multiLevelType w:val="multilevel"/>
    <w:tmpl w:val="29863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EB5F19"/>
    <w:multiLevelType w:val="multilevel"/>
    <w:tmpl w:val="2DEB5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966373"/>
    <w:multiLevelType w:val="multilevel"/>
    <w:tmpl w:val="3296637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A5437"/>
    <w:multiLevelType w:val="hybridMultilevel"/>
    <w:tmpl w:val="2006F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953159"/>
    <w:multiLevelType w:val="hybridMultilevel"/>
    <w:tmpl w:val="82603F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A74908"/>
    <w:multiLevelType w:val="hybridMultilevel"/>
    <w:tmpl w:val="D9B47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AB199C"/>
    <w:multiLevelType w:val="hybridMultilevel"/>
    <w:tmpl w:val="6B2C1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87A3E6E"/>
    <w:multiLevelType w:val="multilevel"/>
    <w:tmpl w:val="487A3E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FB7087"/>
    <w:multiLevelType w:val="hybridMultilevel"/>
    <w:tmpl w:val="86D4FA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08561D"/>
    <w:multiLevelType w:val="hybridMultilevel"/>
    <w:tmpl w:val="6A6AE664"/>
    <w:lvl w:ilvl="0" w:tplc="885A8B8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2" w15:restartNumberingAfterBreak="0">
    <w:nsid w:val="5D5A7E6D"/>
    <w:multiLevelType w:val="multilevel"/>
    <w:tmpl w:val="5D5A7E6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AC2477"/>
    <w:multiLevelType w:val="hybridMultilevel"/>
    <w:tmpl w:val="43B2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2211B"/>
    <w:multiLevelType w:val="multilevel"/>
    <w:tmpl w:val="7322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463103"/>
    <w:multiLevelType w:val="hybridMultilevel"/>
    <w:tmpl w:val="0C5A2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33"/>
  </w:num>
  <w:num w:numId="3">
    <w:abstractNumId w:val="39"/>
  </w:num>
  <w:num w:numId="4">
    <w:abstractNumId w:val="34"/>
  </w:num>
  <w:num w:numId="5">
    <w:abstractNumId w:val="28"/>
  </w:num>
  <w:num w:numId="6">
    <w:abstractNumId w:val="18"/>
  </w:num>
  <w:num w:numId="7">
    <w:abstractNumId w:val="13"/>
  </w:num>
  <w:num w:numId="8">
    <w:abstractNumId w:val="16"/>
  </w:num>
  <w:num w:numId="9">
    <w:abstractNumId w:val="14"/>
  </w:num>
  <w:num w:numId="10">
    <w:abstractNumId w:val="37"/>
  </w:num>
  <w:num w:numId="11">
    <w:abstractNumId w:val="8"/>
  </w:num>
  <w:num w:numId="12">
    <w:abstractNumId w:val="29"/>
  </w:num>
  <w:num w:numId="13">
    <w:abstractNumId w:val="19"/>
  </w:num>
  <w:num w:numId="14">
    <w:abstractNumId w:val="32"/>
  </w:num>
  <w:num w:numId="15">
    <w:abstractNumId w:val="7"/>
  </w:num>
  <w:num w:numId="16">
    <w:abstractNumId w:val="35"/>
  </w:num>
  <w:num w:numId="17">
    <w:abstractNumId w:val="1"/>
  </w:num>
  <w:num w:numId="18">
    <w:abstractNumId w:val="30"/>
  </w:num>
  <w:num w:numId="19">
    <w:abstractNumId w:val="5"/>
  </w:num>
  <w:num w:numId="20">
    <w:abstractNumId w:val="0"/>
  </w:num>
  <w:num w:numId="21">
    <w:abstractNumId w:val="2"/>
  </w:num>
  <w:num w:numId="22">
    <w:abstractNumId w:val="25"/>
  </w:num>
  <w:num w:numId="23">
    <w:abstractNumId w:val="27"/>
  </w:num>
  <w:num w:numId="24">
    <w:abstractNumId w:val="15"/>
  </w:num>
  <w:num w:numId="25">
    <w:abstractNumId w:val="9"/>
  </w:num>
  <w:num w:numId="26">
    <w:abstractNumId w:val="24"/>
  </w:num>
  <w:num w:numId="27">
    <w:abstractNumId w:val="6"/>
  </w:num>
  <w:num w:numId="28">
    <w:abstractNumId w:val="31"/>
  </w:num>
  <w:num w:numId="29">
    <w:abstractNumId w:val="38"/>
  </w:num>
  <w:num w:numId="30">
    <w:abstractNumId w:val="36"/>
  </w:num>
  <w:num w:numId="31">
    <w:abstractNumId w:val="21"/>
  </w:num>
  <w:num w:numId="32">
    <w:abstractNumId w:val="26"/>
  </w:num>
  <w:num w:numId="33">
    <w:abstractNumId w:val="22"/>
  </w:num>
  <w:num w:numId="34">
    <w:abstractNumId w:val="11"/>
  </w:num>
  <w:num w:numId="35">
    <w:abstractNumId w:val="23"/>
  </w:num>
  <w:num w:numId="36">
    <w:abstractNumId w:val="12"/>
  </w:num>
  <w:num w:numId="37">
    <w:abstractNumId w:val="20"/>
  </w:num>
  <w:num w:numId="38">
    <w:abstractNumId w:val="10"/>
  </w:num>
  <w:num w:numId="39">
    <w:abstractNumId w:val="3"/>
  </w:num>
  <w:num w:numId="40">
    <w:abstractNumId w:val="4"/>
  </w:num>
  <w:num w:numId="41">
    <w:abstractNumId w:val="30"/>
  </w:num>
  <w:num w:numId="42">
    <w:abstractNumId w:val="5"/>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06136"/>
    <w:rsid w:val="00106C66"/>
    <w:rsid w:val="0011319C"/>
    <w:rsid w:val="00114611"/>
    <w:rsid w:val="00116A44"/>
    <w:rsid w:val="00116F4B"/>
    <w:rsid w:val="001229F4"/>
    <w:rsid w:val="00127970"/>
    <w:rsid w:val="00130488"/>
    <w:rsid w:val="00130D7E"/>
    <w:rsid w:val="001365AC"/>
    <w:rsid w:val="00137471"/>
    <w:rsid w:val="00137AE9"/>
    <w:rsid w:val="00142BC3"/>
    <w:rsid w:val="001437B5"/>
    <w:rsid w:val="00144FE5"/>
    <w:rsid w:val="00150FD3"/>
    <w:rsid w:val="001544F9"/>
    <w:rsid w:val="00155C9C"/>
    <w:rsid w:val="00160464"/>
    <w:rsid w:val="001648EF"/>
    <w:rsid w:val="001656ED"/>
    <w:rsid w:val="00165B5E"/>
    <w:rsid w:val="00166E4F"/>
    <w:rsid w:val="00170E00"/>
    <w:rsid w:val="00177AB2"/>
    <w:rsid w:val="00180B46"/>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4490"/>
    <w:rsid w:val="001C4EC1"/>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5DB7"/>
    <w:rsid w:val="002406AA"/>
    <w:rsid w:val="002410B1"/>
    <w:rsid w:val="0024125E"/>
    <w:rsid w:val="00243A99"/>
    <w:rsid w:val="00254B3E"/>
    <w:rsid w:val="00254DF1"/>
    <w:rsid w:val="0026685C"/>
    <w:rsid w:val="00274156"/>
    <w:rsid w:val="00292B11"/>
    <w:rsid w:val="0029567C"/>
    <w:rsid w:val="00295F13"/>
    <w:rsid w:val="002A1167"/>
    <w:rsid w:val="002A4229"/>
    <w:rsid w:val="002C0B82"/>
    <w:rsid w:val="002C2508"/>
    <w:rsid w:val="002C7D3B"/>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16D46"/>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3B5"/>
    <w:rsid w:val="003804B5"/>
    <w:rsid w:val="00380E11"/>
    <w:rsid w:val="00383370"/>
    <w:rsid w:val="00386E7C"/>
    <w:rsid w:val="0039139F"/>
    <w:rsid w:val="003923A5"/>
    <w:rsid w:val="0039390A"/>
    <w:rsid w:val="00394AB0"/>
    <w:rsid w:val="00396252"/>
    <w:rsid w:val="00397AE8"/>
    <w:rsid w:val="003A3E00"/>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3C6"/>
    <w:rsid w:val="00455C1E"/>
    <w:rsid w:val="004561BA"/>
    <w:rsid w:val="00457D91"/>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32F76"/>
    <w:rsid w:val="005414F4"/>
    <w:rsid w:val="00543029"/>
    <w:rsid w:val="00543067"/>
    <w:rsid w:val="005446DE"/>
    <w:rsid w:val="00544EA6"/>
    <w:rsid w:val="00545284"/>
    <w:rsid w:val="00547443"/>
    <w:rsid w:val="0055346F"/>
    <w:rsid w:val="005578F6"/>
    <w:rsid w:val="005579FF"/>
    <w:rsid w:val="00565962"/>
    <w:rsid w:val="0056766A"/>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3BCA"/>
    <w:rsid w:val="0063469B"/>
    <w:rsid w:val="006458DF"/>
    <w:rsid w:val="0064670A"/>
    <w:rsid w:val="00650D52"/>
    <w:rsid w:val="00650FDD"/>
    <w:rsid w:val="006615B2"/>
    <w:rsid w:val="006616EA"/>
    <w:rsid w:val="00662313"/>
    <w:rsid w:val="00665D45"/>
    <w:rsid w:val="00667267"/>
    <w:rsid w:val="00670AD9"/>
    <w:rsid w:val="00673911"/>
    <w:rsid w:val="00676F0C"/>
    <w:rsid w:val="006817DF"/>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17C34"/>
    <w:rsid w:val="0072080B"/>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5D7C"/>
    <w:rsid w:val="00766CFB"/>
    <w:rsid w:val="0077331E"/>
    <w:rsid w:val="007766E9"/>
    <w:rsid w:val="007768DD"/>
    <w:rsid w:val="007816FF"/>
    <w:rsid w:val="00781ABD"/>
    <w:rsid w:val="00783B44"/>
    <w:rsid w:val="00783EE5"/>
    <w:rsid w:val="00785028"/>
    <w:rsid w:val="00791E7A"/>
    <w:rsid w:val="0079541B"/>
    <w:rsid w:val="007958DD"/>
    <w:rsid w:val="00795F3C"/>
    <w:rsid w:val="007A29A6"/>
    <w:rsid w:val="007A2E19"/>
    <w:rsid w:val="007A3A5A"/>
    <w:rsid w:val="007A4370"/>
    <w:rsid w:val="007A5A1D"/>
    <w:rsid w:val="007C4F0C"/>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5BD9"/>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05977"/>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3F69"/>
    <w:rsid w:val="00954AA4"/>
    <w:rsid w:val="00955C4C"/>
    <w:rsid w:val="00961C29"/>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3B92"/>
    <w:rsid w:val="009E4261"/>
    <w:rsid w:val="009F0747"/>
    <w:rsid w:val="009F44E4"/>
    <w:rsid w:val="009F50E1"/>
    <w:rsid w:val="00A013E8"/>
    <w:rsid w:val="00A03514"/>
    <w:rsid w:val="00A07AB1"/>
    <w:rsid w:val="00A13F87"/>
    <w:rsid w:val="00A1647A"/>
    <w:rsid w:val="00A17079"/>
    <w:rsid w:val="00A238C5"/>
    <w:rsid w:val="00A30038"/>
    <w:rsid w:val="00A3077C"/>
    <w:rsid w:val="00A429FE"/>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04B2F"/>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3774"/>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440A"/>
    <w:rsid w:val="00C950F8"/>
    <w:rsid w:val="00CA388D"/>
    <w:rsid w:val="00CA5990"/>
    <w:rsid w:val="00CA6F62"/>
    <w:rsid w:val="00CA7E92"/>
    <w:rsid w:val="00CB6059"/>
    <w:rsid w:val="00CC1045"/>
    <w:rsid w:val="00CC7F75"/>
    <w:rsid w:val="00CD05DE"/>
    <w:rsid w:val="00CD200C"/>
    <w:rsid w:val="00CD506C"/>
    <w:rsid w:val="00CD5EFB"/>
    <w:rsid w:val="00CE5228"/>
    <w:rsid w:val="00CF2F36"/>
    <w:rsid w:val="00CF3C90"/>
    <w:rsid w:val="00CF5E71"/>
    <w:rsid w:val="00CF7FAC"/>
    <w:rsid w:val="00D04D55"/>
    <w:rsid w:val="00D06157"/>
    <w:rsid w:val="00D10DBF"/>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2EB2"/>
    <w:rsid w:val="00D94E23"/>
    <w:rsid w:val="00D96B31"/>
    <w:rsid w:val="00D96EDC"/>
    <w:rsid w:val="00DA004C"/>
    <w:rsid w:val="00DA459B"/>
    <w:rsid w:val="00DA6FD8"/>
    <w:rsid w:val="00DB1882"/>
    <w:rsid w:val="00DB2CB7"/>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2DDC"/>
    <w:rsid w:val="00E2352A"/>
    <w:rsid w:val="00E24512"/>
    <w:rsid w:val="00E2533A"/>
    <w:rsid w:val="00E26D38"/>
    <w:rsid w:val="00E26EDA"/>
    <w:rsid w:val="00E36051"/>
    <w:rsid w:val="00E408F0"/>
    <w:rsid w:val="00E423F6"/>
    <w:rsid w:val="00E45067"/>
    <w:rsid w:val="00E47CDF"/>
    <w:rsid w:val="00E507B8"/>
    <w:rsid w:val="00E544FA"/>
    <w:rsid w:val="00E558C1"/>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571"/>
    <w:rsid w:val="00EC65C2"/>
    <w:rsid w:val="00ED0E8F"/>
    <w:rsid w:val="00ED43DC"/>
    <w:rsid w:val="00ED54FD"/>
    <w:rsid w:val="00EE0782"/>
    <w:rsid w:val="00EE10F2"/>
    <w:rsid w:val="00EE1504"/>
    <w:rsid w:val="00EE3B5B"/>
    <w:rsid w:val="00EE4CC9"/>
    <w:rsid w:val="00EE6AE3"/>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965"/>
    <w:rsid w:val="00F63D05"/>
    <w:rsid w:val="00F66F2E"/>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C345B"/>
    <w:rsid w:val="00FC4EF3"/>
    <w:rsid w:val="00FC52D7"/>
    <w:rsid w:val="00FC5C6C"/>
    <w:rsid w:val="00FC663F"/>
    <w:rsid w:val="00FC7B82"/>
    <w:rsid w:val="00FD4E37"/>
    <w:rsid w:val="00FE3B44"/>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80B"/>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line="259" w:lineRule="auto"/>
    </w:pPr>
    <w:rPr>
      <w:rFonts w:eastAsia="MS Gothic"/>
      <w:lang w:eastAsia="ja-JP"/>
    </w:rPr>
  </w:style>
  <w:style w:type="paragraph" w:styleId="BodyText3">
    <w:name w:val="Body Text 3"/>
    <w:basedOn w:val="Normal"/>
    <w:link w:val="BodyText3Char"/>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line="259" w:lineRule="auto"/>
      <w:ind w:left="454" w:hanging="454"/>
      <w:textAlignment w:val="baseline"/>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rsid w:val="0056766A"/>
    <w:pPr>
      <w:overflowPunct/>
      <w:autoSpaceDE/>
      <w:autoSpaceDN/>
      <w:adjustRightInd/>
      <w:spacing w:before="100" w:beforeAutospacing="1" w:after="0" w:line="240" w:lineRule="auto"/>
    </w:pPr>
    <w:rPr>
      <w:rFonts w:eastAsia="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09566">
      <w:bodyDiv w:val="1"/>
      <w:marLeft w:val="0"/>
      <w:marRight w:val="0"/>
      <w:marTop w:val="0"/>
      <w:marBottom w:val="0"/>
      <w:divBdr>
        <w:top w:val="none" w:sz="0" w:space="0" w:color="auto"/>
        <w:left w:val="none" w:sz="0" w:space="0" w:color="auto"/>
        <w:bottom w:val="none" w:sz="0" w:space="0" w:color="auto"/>
        <w:right w:val="none" w:sz="0" w:space="0" w:color="auto"/>
      </w:divBdr>
    </w:div>
    <w:div w:id="324823397">
      <w:bodyDiv w:val="1"/>
      <w:marLeft w:val="0"/>
      <w:marRight w:val="0"/>
      <w:marTop w:val="0"/>
      <w:marBottom w:val="0"/>
      <w:divBdr>
        <w:top w:val="none" w:sz="0" w:space="0" w:color="auto"/>
        <w:left w:val="none" w:sz="0" w:space="0" w:color="auto"/>
        <w:bottom w:val="none" w:sz="0" w:space="0" w:color="auto"/>
        <w:right w:val="none" w:sz="0" w:space="0" w:color="auto"/>
      </w:divBdr>
    </w:div>
    <w:div w:id="355543413">
      <w:bodyDiv w:val="1"/>
      <w:marLeft w:val="0"/>
      <w:marRight w:val="0"/>
      <w:marTop w:val="0"/>
      <w:marBottom w:val="0"/>
      <w:divBdr>
        <w:top w:val="none" w:sz="0" w:space="0" w:color="auto"/>
        <w:left w:val="none" w:sz="0" w:space="0" w:color="auto"/>
        <w:bottom w:val="none" w:sz="0" w:space="0" w:color="auto"/>
        <w:right w:val="none" w:sz="0" w:space="0" w:color="auto"/>
      </w:divBdr>
    </w:div>
    <w:div w:id="379717919">
      <w:bodyDiv w:val="1"/>
      <w:marLeft w:val="0"/>
      <w:marRight w:val="0"/>
      <w:marTop w:val="0"/>
      <w:marBottom w:val="0"/>
      <w:divBdr>
        <w:top w:val="none" w:sz="0" w:space="0" w:color="auto"/>
        <w:left w:val="none" w:sz="0" w:space="0" w:color="auto"/>
        <w:bottom w:val="none" w:sz="0" w:space="0" w:color="auto"/>
        <w:right w:val="none" w:sz="0" w:space="0" w:color="auto"/>
      </w:divBdr>
    </w:div>
    <w:div w:id="741682823">
      <w:bodyDiv w:val="1"/>
      <w:marLeft w:val="0"/>
      <w:marRight w:val="0"/>
      <w:marTop w:val="0"/>
      <w:marBottom w:val="0"/>
      <w:divBdr>
        <w:top w:val="none" w:sz="0" w:space="0" w:color="auto"/>
        <w:left w:val="none" w:sz="0" w:space="0" w:color="auto"/>
        <w:bottom w:val="none" w:sz="0" w:space="0" w:color="auto"/>
        <w:right w:val="none" w:sz="0" w:space="0" w:color="auto"/>
      </w:divBdr>
    </w:div>
    <w:div w:id="831144148">
      <w:bodyDiv w:val="1"/>
      <w:marLeft w:val="0"/>
      <w:marRight w:val="0"/>
      <w:marTop w:val="0"/>
      <w:marBottom w:val="0"/>
      <w:divBdr>
        <w:top w:val="none" w:sz="0" w:space="0" w:color="auto"/>
        <w:left w:val="none" w:sz="0" w:space="0" w:color="auto"/>
        <w:bottom w:val="none" w:sz="0" w:space="0" w:color="auto"/>
        <w:right w:val="none" w:sz="0" w:space="0" w:color="auto"/>
      </w:divBdr>
    </w:div>
    <w:div w:id="920259412">
      <w:bodyDiv w:val="1"/>
      <w:marLeft w:val="0"/>
      <w:marRight w:val="0"/>
      <w:marTop w:val="0"/>
      <w:marBottom w:val="0"/>
      <w:divBdr>
        <w:top w:val="none" w:sz="0" w:space="0" w:color="auto"/>
        <w:left w:val="none" w:sz="0" w:space="0" w:color="auto"/>
        <w:bottom w:val="none" w:sz="0" w:space="0" w:color="auto"/>
        <w:right w:val="none" w:sz="0" w:space="0" w:color="auto"/>
      </w:divBdr>
    </w:div>
    <w:div w:id="932666263">
      <w:bodyDiv w:val="1"/>
      <w:marLeft w:val="0"/>
      <w:marRight w:val="0"/>
      <w:marTop w:val="0"/>
      <w:marBottom w:val="0"/>
      <w:divBdr>
        <w:top w:val="none" w:sz="0" w:space="0" w:color="auto"/>
        <w:left w:val="none" w:sz="0" w:space="0" w:color="auto"/>
        <w:bottom w:val="none" w:sz="0" w:space="0" w:color="auto"/>
        <w:right w:val="none" w:sz="0" w:space="0" w:color="auto"/>
      </w:divBdr>
    </w:div>
    <w:div w:id="944505156">
      <w:bodyDiv w:val="1"/>
      <w:marLeft w:val="0"/>
      <w:marRight w:val="0"/>
      <w:marTop w:val="0"/>
      <w:marBottom w:val="0"/>
      <w:divBdr>
        <w:top w:val="none" w:sz="0" w:space="0" w:color="auto"/>
        <w:left w:val="none" w:sz="0" w:space="0" w:color="auto"/>
        <w:bottom w:val="none" w:sz="0" w:space="0" w:color="auto"/>
        <w:right w:val="none" w:sz="0" w:space="0" w:color="auto"/>
      </w:divBdr>
    </w:div>
    <w:div w:id="948700704">
      <w:bodyDiv w:val="1"/>
      <w:marLeft w:val="0"/>
      <w:marRight w:val="0"/>
      <w:marTop w:val="0"/>
      <w:marBottom w:val="0"/>
      <w:divBdr>
        <w:top w:val="none" w:sz="0" w:space="0" w:color="auto"/>
        <w:left w:val="none" w:sz="0" w:space="0" w:color="auto"/>
        <w:bottom w:val="none" w:sz="0" w:space="0" w:color="auto"/>
        <w:right w:val="none" w:sz="0" w:space="0" w:color="auto"/>
      </w:divBdr>
    </w:div>
    <w:div w:id="971711541">
      <w:bodyDiv w:val="1"/>
      <w:marLeft w:val="0"/>
      <w:marRight w:val="0"/>
      <w:marTop w:val="0"/>
      <w:marBottom w:val="0"/>
      <w:divBdr>
        <w:top w:val="none" w:sz="0" w:space="0" w:color="auto"/>
        <w:left w:val="none" w:sz="0" w:space="0" w:color="auto"/>
        <w:bottom w:val="none" w:sz="0" w:space="0" w:color="auto"/>
        <w:right w:val="none" w:sz="0" w:space="0" w:color="auto"/>
      </w:divBdr>
    </w:div>
    <w:div w:id="1122264203">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395932762">
      <w:bodyDiv w:val="1"/>
      <w:marLeft w:val="0"/>
      <w:marRight w:val="0"/>
      <w:marTop w:val="0"/>
      <w:marBottom w:val="0"/>
      <w:divBdr>
        <w:top w:val="none" w:sz="0" w:space="0" w:color="auto"/>
        <w:left w:val="none" w:sz="0" w:space="0" w:color="auto"/>
        <w:bottom w:val="none" w:sz="0" w:space="0" w:color="auto"/>
        <w:right w:val="none" w:sz="0" w:space="0" w:color="auto"/>
      </w:divBdr>
    </w:div>
    <w:div w:id="1407024944">
      <w:bodyDiv w:val="1"/>
      <w:marLeft w:val="0"/>
      <w:marRight w:val="0"/>
      <w:marTop w:val="0"/>
      <w:marBottom w:val="0"/>
      <w:divBdr>
        <w:top w:val="none" w:sz="0" w:space="0" w:color="auto"/>
        <w:left w:val="none" w:sz="0" w:space="0" w:color="auto"/>
        <w:bottom w:val="none" w:sz="0" w:space="0" w:color="auto"/>
        <w:right w:val="none" w:sz="0" w:space="0" w:color="auto"/>
      </w:divBdr>
    </w:div>
    <w:div w:id="1572618858">
      <w:bodyDiv w:val="1"/>
      <w:marLeft w:val="0"/>
      <w:marRight w:val="0"/>
      <w:marTop w:val="0"/>
      <w:marBottom w:val="0"/>
      <w:divBdr>
        <w:top w:val="none" w:sz="0" w:space="0" w:color="auto"/>
        <w:left w:val="none" w:sz="0" w:space="0" w:color="auto"/>
        <w:bottom w:val="none" w:sz="0" w:space="0" w:color="auto"/>
        <w:right w:val="none" w:sz="0" w:space="0" w:color="auto"/>
      </w:divBdr>
    </w:div>
    <w:div w:id="1643999650">
      <w:bodyDiv w:val="1"/>
      <w:marLeft w:val="0"/>
      <w:marRight w:val="0"/>
      <w:marTop w:val="0"/>
      <w:marBottom w:val="0"/>
      <w:divBdr>
        <w:top w:val="none" w:sz="0" w:space="0" w:color="auto"/>
        <w:left w:val="none" w:sz="0" w:space="0" w:color="auto"/>
        <w:bottom w:val="none" w:sz="0" w:space="0" w:color="auto"/>
        <w:right w:val="none" w:sz="0" w:space="0" w:color="auto"/>
      </w:divBdr>
    </w:div>
    <w:div w:id="1648824919">
      <w:bodyDiv w:val="1"/>
      <w:marLeft w:val="0"/>
      <w:marRight w:val="0"/>
      <w:marTop w:val="0"/>
      <w:marBottom w:val="0"/>
      <w:divBdr>
        <w:top w:val="none" w:sz="0" w:space="0" w:color="auto"/>
        <w:left w:val="none" w:sz="0" w:space="0" w:color="auto"/>
        <w:bottom w:val="none" w:sz="0" w:space="0" w:color="auto"/>
        <w:right w:val="none" w:sz="0" w:space="0" w:color="auto"/>
      </w:divBdr>
    </w:div>
    <w:div w:id="1713848498">
      <w:bodyDiv w:val="1"/>
      <w:marLeft w:val="0"/>
      <w:marRight w:val="0"/>
      <w:marTop w:val="0"/>
      <w:marBottom w:val="0"/>
      <w:divBdr>
        <w:top w:val="none" w:sz="0" w:space="0" w:color="auto"/>
        <w:left w:val="none" w:sz="0" w:space="0" w:color="auto"/>
        <w:bottom w:val="none" w:sz="0" w:space="0" w:color="auto"/>
        <w:right w:val="none" w:sz="0" w:space="0" w:color="auto"/>
      </w:divBdr>
    </w:div>
    <w:div w:id="1766025883">
      <w:bodyDiv w:val="1"/>
      <w:marLeft w:val="0"/>
      <w:marRight w:val="0"/>
      <w:marTop w:val="0"/>
      <w:marBottom w:val="0"/>
      <w:divBdr>
        <w:top w:val="none" w:sz="0" w:space="0" w:color="auto"/>
        <w:left w:val="none" w:sz="0" w:space="0" w:color="auto"/>
        <w:bottom w:val="none" w:sz="0" w:space="0" w:color="auto"/>
        <w:right w:val="none" w:sz="0" w:space="0" w:color="auto"/>
      </w:divBdr>
    </w:div>
    <w:div w:id="1859735739">
      <w:bodyDiv w:val="1"/>
      <w:marLeft w:val="0"/>
      <w:marRight w:val="0"/>
      <w:marTop w:val="0"/>
      <w:marBottom w:val="0"/>
      <w:divBdr>
        <w:top w:val="none" w:sz="0" w:space="0" w:color="auto"/>
        <w:left w:val="none" w:sz="0" w:space="0" w:color="auto"/>
        <w:bottom w:val="none" w:sz="0" w:space="0" w:color="auto"/>
        <w:right w:val="none" w:sz="0" w:space="0" w:color="auto"/>
      </w:divBdr>
    </w:div>
    <w:div w:id="1925139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3.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5.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4086</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 Roy [MediaTek]</cp:lastModifiedBy>
  <cp:revision>4</cp:revision>
  <dcterms:created xsi:type="dcterms:W3CDTF">2022-12-03T03:29:00Z</dcterms:created>
  <dcterms:modified xsi:type="dcterms:W3CDTF">2022-12-04T19:14:00Z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ies>
</file>